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6024" w14:textId="5CD551BC" w:rsidR="00746ADB" w:rsidRDefault="00746ADB" w:rsidP="00746ADB">
      <w:pPr>
        <w:pStyle w:val="Title"/>
      </w:pPr>
      <w:r>
        <w:t xml:space="preserve">Attachment E: </w:t>
      </w:r>
      <w:r>
        <w:br/>
        <w:t>202</w:t>
      </w:r>
      <w:r w:rsidR="00BB6B1F">
        <w:t>5</w:t>
      </w:r>
      <w:r>
        <w:t>-2</w:t>
      </w:r>
      <w:r w:rsidR="00BB6B1F">
        <w:t>6</w:t>
      </w:r>
      <w:r>
        <w:t xml:space="preserve"> Budget submission and template – Additional guidance</w:t>
      </w:r>
    </w:p>
    <w:p w14:paraId="59C81B94" w14:textId="77777777" w:rsidR="003911A1" w:rsidRDefault="003911A1" w:rsidP="003911A1">
      <w:pPr>
        <w:pStyle w:val="Heading1numbered"/>
      </w:pPr>
      <w:bookmarkStart w:id="0" w:name="_Toc87406436"/>
      <w:r>
        <w:t xml:space="preserve">Staffing costs </w:t>
      </w:r>
    </w:p>
    <w:p w14:paraId="6CD6E297" w14:textId="666BFA36" w:rsidR="003911A1" w:rsidRDefault="003911A1" w:rsidP="003911A1">
      <w:pPr>
        <w:pStyle w:val="ListBullet"/>
      </w:pPr>
      <w:r>
        <w:t xml:space="preserve">All </w:t>
      </w:r>
      <w:r w:rsidRPr="00A068DE">
        <w:rPr>
          <w:b/>
          <w:bCs/>
        </w:rPr>
        <w:t>Victorian Public Service (VPS) staffing</w:t>
      </w:r>
      <w:r>
        <w:t xml:space="preserve"> costings should be calculated using the costs in the </w:t>
      </w:r>
      <w:r w:rsidRPr="00A068DE">
        <w:rPr>
          <w:b/>
          <w:bCs/>
        </w:rPr>
        <w:t>Standard costing model for VPS staff</w:t>
      </w:r>
      <w:r>
        <w:t xml:space="preserve"> in the following tables. </w:t>
      </w:r>
      <w:r w:rsidRPr="00A068DE">
        <w:rPr>
          <w:b/>
          <w:bCs/>
        </w:rPr>
        <w:t>VPS Aligned</w:t>
      </w:r>
      <w:r>
        <w:t xml:space="preserve"> classifications covered by the Victorian Public Service Enterprise Agreement </w:t>
      </w:r>
      <w:r w:rsidR="0043045F">
        <w:t>2024</w:t>
      </w:r>
      <w:r>
        <w:t xml:space="preserve"> should also be calculated using this methodology.</w:t>
      </w:r>
    </w:p>
    <w:p w14:paraId="0ABFB54B" w14:textId="77777777" w:rsidR="003911A1" w:rsidRDefault="003911A1" w:rsidP="003911A1">
      <w:pPr>
        <w:pStyle w:val="ListBullet"/>
      </w:pPr>
      <w:r>
        <w:t xml:space="preserve">For </w:t>
      </w:r>
      <w:r w:rsidRPr="00A068DE">
        <w:rPr>
          <w:b/>
          <w:bCs/>
        </w:rPr>
        <w:t>Non-VPS Aligned Adaptive Structures</w:t>
      </w:r>
      <w:r>
        <w:t xml:space="preserve">, departments are requested, in consultation with DTF, to use the </w:t>
      </w:r>
      <w:r w:rsidRPr="00A068DE">
        <w:rPr>
          <w:b/>
          <w:bCs/>
        </w:rPr>
        <w:t>mid salary point</w:t>
      </w:r>
      <w:r>
        <w:t xml:space="preserve"> for the respective classification and grade and apply the same methodology as per the standard costing model for VPS staff below (i.e. replace the VPS salary point with the desired classification).</w:t>
      </w:r>
    </w:p>
    <w:p w14:paraId="779AAA3A" w14:textId="77777777" w:rsidR="003911A1" w:rsidRDefault="003911A1" w:rsidP="003911A1">
      <w:pPr>
        <w:pStyle w:val="ListBullet"/>
      </w:pPr>
      <w:r>
        <w:t>The method for costing other non-standard staffing costs and staffing classifications covered by other enterprise agreements is to be agreed with DTF on a case-by-case basis.</w:t>
      </w:r>
    </w:p>
    <w:p w14:paraId="038164D1" w14:textId="77777777" w:rsidR="003911A1" w:rsidRPr="00A90F9D" w:rsidRDefault="003911A1" w:rsidP="003911A1">
      <w:pPr>
        <w:pStyle w:val="ListBullet"/>
        <w:rPr>
          <w:b/>
        </w:rPr>
      </w:pPr>
      <w:r w:rsidRPr="00A90F9D">
        <w:rPr>
          <w:b/>
        </w:rPr>
        <w:t>Year-on-year indexation should not be applied to staffing costs.</w:t>
      </w:r>
    </w:p>
    <w:p w14:paraId="16054F37" w14:textId="2AAAB86E" w:rsidR="003911A1" w:rsidRPr="008507D3" w:rsidRDefault="003911A1" w:rsidP="003911A1">
      <w:pPr>
        <w:pStyle w:val="ListBullet"/>
      </w:pPr>
      <w:r w:rsidRPr="008507D3">
        <w:t xml:space="preserve">The costing template has been set up to calculate the standard VPS costs, these are calculated based on the year in which the VPS staff commences and are static across the forward estimates. The example below shows how the standard cost would be calculated for a new VPS 5 starting in </w:t>
      </w:r>
      <w:r w:rsidR="00282008" w:rsidRPr="008507D3">
        <w:t>202</w:t>
      </w:r>
      <w:r w:rsidR="00282008">
        <w:t>4</w:t>
      </w:r>
      <w:r w:rsidR="00282008" w:rsidRPr="008507D3">
        <w:t>-2</w:t>
      </w:r>
      <w:r w:rsidR="00282008">
        <w:t>5</w:t>
      </w:r>
      <w:r w:rsidR="00282008" w:rsidRPr="008507D3">
        <w:t xml:space="preserve"> </w:t>
      </w:r>
      <w:r w:rsidRPr="008507D3">
        <w:t xml:space="preserve">and </w:t>
      </w:r>
      <w:r w:rsidR="00BC7130" w:rsidRPr="008507D3">
        <w:t>202</w:t>
      </w:r>
      <w:r w:rsidR="00BC7130">
        <w:t>5</w:t>
      </w:r>
      <w:r w:rsidR="00BC7130" w:rsidRPr="008507D3">
        <w:t>-2</w:t>
      </w:r>
      <w:r w:rsidR="00BC7130">
        <w:t>6</w:t>
      </w:r>
      <w:r w:rsidRPr="008507D3">
        <w:t>.</w:t>
      </w:r>
    </w:p>
    <w:tbl>
      <w:tblPr>
        <w:tblStyle w:val="DTFfinancialtable"/>
        <w:tblW w:w="8926" w:type="dxa"/>
        <w:tblLayout w:type="fixed"/>
        <w:tblLook w:val="06A0" w:firstRow="1" w:lastRow="0" w:firstColumn="1" w:lastColumn="0" w:noHBand="1" w:noVBand="1"/>
      </w:tblPr>
      <w:tblGrid>
        <w:gridCol w:w="892"/>
        <w:gridCol w:w="526"/>
        <w:gridCol w:w="709"/>
        <w:gridCol w:w="708"/>
        <w:gridCol w:w="1134"/>
        <w:gridCol w:w="991"/>
        <w:gridCol w:w="991"/>
        <w:gridCol w:w="992"/>
        <w:gridCol w:w="991"/>
        <w:gridCol w:w="992"/>
      </w:tblGrid>
      <w:tr w:rsidR="003A01BD" w:rsidRPr="00BB0DF8" w14:paraId="1C35C117" w14:textId="77777777">
        <w:trPr>
          <w:cnfStyle w:val="100000000000" w:firstRow="1" w:lastRow="0" w:firstColumn="0" w:lastColumn="0" w:oddVBand="0" w:evenVBand="0" w:oddHBand="0" w:evenHBand="0" w:firstRowFirstColumn="0" w:firstRowLastColumn="0" w:lastRowFirstColumn="0" w:lastRowLastColumn="0"/>
          <w:trHeight w:val="247"/>
        </w:trPr>
        <w:tc>
          <w:tcPr>
            <w:cnfStyle w:val="001000000100" w:firstRow="0" w:lastRow="0" w:firstColumn="1" w:lastColumn="0" w:oddVBand="0" w:evenVBand="0" w:oddHBand="0" w:evenHBand="0" w:firstRowFirstColumn="1" w:firstRowLastColumn="0" w:lastRowFirstColumn="0" w:lastRowLastColumn="0"/>
            <w:tcW w:w="892" w:type="dxa"/>
          </w:tcPr>
          <w:p w14:paraId="64BCA7AD" w14:textId="77777777" w:rsidR="003A01BD" w:rsidRPr="00CD1774" w:rsidRDefault="003A01BD" w:rsidP="003A01BD">
            <w:pPr>
              <w:rPr>
                <w:sz w:val="14"/>
                <w:szCs w:val="14"/>
              </w:rPr>
            </w:pPr>
          </w:p>
        </w:tc>
        <w:tc>
          <w:tcPr>
            <w:tcW w:w="526" w:type="dxa"/>
          </w:tcPr>
          <w:p w14:paraId="3479889E" w14:textId="77777777"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p>
        </w:tc>
        <w:tc>
          <w:tcPr>
            <w:tcW w:w="709" w:type="dxa"/>
          </w:tcPr>
          <w:p w14:paraId="357AD709" w14:textId="77777777"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p>
        </w:tc>
        <w:tc>
          <w:tcPr>
            <w:tcW w:w="708" w:type="dxa"/>
          </w:tcPr>
          <w:p w14:paraId="4498529B" w14:textId="77777777"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p>
        </w:tc>
        <w:tc>
          <w:tcPr>
            <w:tcW w:w="1134" w:type="dxa"/>
          </w:tcPr>
          <w:p w14:paraId="22A5D216" w14:textId="77777777"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p>
        </w:tc>
        <w:tc>
          <w:tcPr>
            <w:tcW w:w="991" w:type="dxa"/>
          </w:tcPr>
          <w:p w14:paraId="4E795E4C" w14:textId="7139E90E"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202</w:t>
            </w:r>
            <w:r>
              <w:rPr>
                <w:sz w:val="14"/>
                <w:szCs w:val="14"/>
              </w:rPr>
              <w:t>4</w:t>
            </w:r>
            <w:r w:rsidRPr="00CD1774">
              <w:rPr>
                <w:sz w:val="14"/>
                <w:szCs w:val="14"/>
              </w:rPr>
              <w:t>-2</w:t>
            </w:r>
            <w:r>
              <w:rPr>
                <w:sz w:val="14"/>
                <w:szCs w:val="14"/>
              </w:rPr>
              <w:t>5</w:t>
            </w:r>
          </w:p>
        </w:tc>
        <w:tc>
          <w:tcPr>
            <w:tcW w:w="991" w:type="dxa"/>
          </w:tcPr>
          <w:p w14:paraId="21236E51" w14:textId="70C9B2D4"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2025-26</w:t>
            </w:r>
          </w:p>
        </w:tc>
        <w:tc>
          <w:tcPr>
            <w:tcW w:w="992" w:type="dxa"/>
          </w:tcPr>
          <w:p w14:paraId="674BD1B2" w14:textId="1B3C833C"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2026-27</w:t>
            </w:r>
          </w:p>
        </w:tc>
        <w:tc>
          <w:tcPr>
            <w:tcW w:w="991" w:type="dxa"/>
          </w:tcPr>
          <w:p w14:paraId="62B88350" w14:textId="5F28005C"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202</w:t>
            </w:r>
            <w:r>
              <w:rPr>
                <w:sz w:val="14"/>
                <w:szCs w:val="14"/>
              </w:rPr>
              <w:t>7</w:t>
            </w:r>
            <w:r w:rsidRPr="00CD1774">
              <w:rPr>
                <w:sz w:val="14"/>
                <w:szCs w:val="14"/>
              </w:rPr>
              <w:t>-2</w:t>
            </w:r>
            <w:r>
              <w:rPr>
                <w:sz w:val="14"/>
                <w:szCs w:val="14"/>
              </w:rPr>
              <w:t>8</w:t>
            </w:r>
          </w:p>
        </w:tc>
        <w:tc>
          <w:tcPr>
            <w:tcW w:w="992" w:type="dxa"/>
          </w:tcPr>
          <w:p w14:paraId="5B92723F" w14:textId="77777777" w:rsidR="003A01BD" w:rsidRPr="00CD1774" w:rsidRDefault="003A01BD" w:rsidP="003A01BD">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Ongoing</w:t>
            </w:r>
          </w:p>
        </w:tc>
      </w:tr>
      <w:tr w:rsidR="003911A1" w:rsidRPr="00BB0DF8" w14:paraId="04FD35A3" w14:textId="77777777">
        <w:trPr>
          <w:trHeight w:val="352"/>
        </w:trPr>
        <w:tc>
          <w:tcPr>
            <w:cnfStyle w:val="001000000000" w:firstRow="0" w:lastRow="0" w:firstColumn="1" w:lastColumn="0" w:oddVBand="0" w:evenVBand="0" w:oddHBand="0" w:evenHBand="0" w:firstRowFirstColumn="0" w:firstRowLastColumn="0" w:lastRowFirstColumn="0" w:lastRowLastColumn="0"/>
            <w:tcW w:w="892" w:type="dxa"/>
          </w:tcPr>
          <w:p w14:paraId="553D5FE7" w14:textId="77777777" w:rsidR="003911A1" w:rsidRPr="002B1512" w:rsidRDefault="003911A1">
            <w:pPr>
              <w:rPr>
                <w:b/>
                <w:bCs/>
                <w:sz w:val="14"/>
                <w:szCs w:val="14"/>
              </w:rPr>
            </w:pPr>
            <w:r w:rsidRPr="002B1512">
              <w:rPr>
                <w:b/>
                <w:bCs/>
                <w:sz w:val="14"/>
                <w:szCs w:val="14"/>
              </w:rPr>
              <w:t>Staffing classification</w:t>
            </w:r>
          </w:p>
        </w:tc>
        <w:tc>
          <w:tcPr>
            <w:tcW w:w="526" w:type="dxa"/>
          </w:tcPr>
          <w:p w14:paraId="2E9504E0" w14:textId="77777777" w:rsidR="003911A1" w:rsidRPr="002B1512" w:rsidRDefault="003911A1">
            <w:pPr>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2B1512">
              <w:rPr>
                <w:b/>
                <w:bCs/>
                <w:sz w:val="14"/>
                <w:szCs w:val="14"/>
              </w:rPr>
              <w:t>No. of staff</w:t>
            </w:r>
          </w:p>
        </w:tc>
        <w:tc>
          <w:tcPr>
            <w:tcW w:w="709" w:type="dxa"/>
          </w:tcPr>
          <w:p w14:paraId="25E8C4B1" w14:textId="77777777" w:rsidR="003911A1" w:rsidRPr="002B1512" w:rsidRDefault="003911A1">
            <w:pPr>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2B1512">
              <w:rPr>
                <w:b/>
                <w:bCs/>
                <w:sz w:val="14"/>
                <w:szCs w:val="14"/>
              </w:rPr>
              <w:t>Starting year</w:t>
            </w:r>
          </w:p>
        </w:tc>
        <w:tc>
          <w:tcPr>
            <w:tcW w:w="708" w:type="dxa"/>
          </w:tcPr>
          <w:p w14:paraId="6DCE806E" w14:textId="77777777" w:rsidR="003911A1" w:rsidRPr="002B1512" w:rsidRDefault="003911A1">
            <w:pPr>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2B1512">
              <w:rPr>
                <w:b/>
                <w:bCs/>
                <w:sz w:val="14"/>
                <w:szCs w:val="14"/>
              </w:rPr>
              <w:t>Sunset year</w:t>
            </w:r>
          </w:p>
        </w:tc>
        <w:tc>
          <w:tcPr>
            <w:tcW w:w="1134" w:type="dxa"/>
          </w:tcPr>
          <w:p w14:paraId="2621FCC4" w14:textId="77777777" w:rsidR="003911A1" w:rsidRPr="002B1512" w:rsidRDefault="003911A1">
            <w:pPr>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2B1512">
              <w:rPr>
                <w:b/>
                <w:bCs/>
                <w:sz w:val="14"/>
                <w:szCs w:val="14"/>
              </w:rPr>
              <w:t>Location</w:t>
            </w:r>
          </w:p>
        </w:tc>
        <w:tc>
          <w:tcPr>
            <w:tcW w:w="991" w:type="dxa"/>
          </w:tcPr>
          <w:p w14:paraId="00EAA7F9"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1" w:type="dxa"/>
          </w:tcPr>
          <w:p w14:paraId="453ABAD9"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2" w:type="dxa"/>
          </w:tcPr>
          <w:p w14:paraId="791EE3EE"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1" w:type="dxa"/>
          </w:tcPr>
          <w:p w14:paraId="311B299B"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2" w:type="dxa"/>
          </w:tcPr>
          <w:p w14:paraId="7A17FACB"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r>
      <w:tr w:rsidR="0020066B" w:rsidRPr="00BB0DF8" w14:paraId="2D10F791" w14:textId="77777777">
        <w:trPr>
          <w:trHeight w:val="134"/>
        </w:trPr>
        <w:tc>
          <w:tcPr>
            <w:cnfStyle w:val="001000000000" w:firstRow="0" w:lastRow="0" w:firstColumn="1" w:lastColumn="0" w:oddVBand="0" w:evenVBand="0" w:oddHBand="0" w:evenHBand="0" w:firstRowFirstColumn="0" w:firstRowLastColumn="0" w:lastRowFirstColumn="0" w:lastRowLastColumn="0"/>
            <w:tcW w:w="892" w:type="dxa"/>
          </w:tcPr>
          <w:p w14:paraId="00FF534F" w14:textId="77777777" w:rsidR="0020066B" w:rsidRPr="00CD1774" w:rsidRDefault="0020066B" w:rsidP="0020066B">
            <w:pPr>
              <w:rPr>
                <w:sz w:val="14"/>
                <w:szCs w:val="14"/>
              </w:rPr>
            </w:pPr>
            <w:r w:rsidRPr="00CD1774">
              <w:rPr>
                <w:sz w:val="14"/>
                <w:szCs w:val="14"/>
              </w:rPr>
              <w:t>VPS 5</w:t>
            </w:r>
          </w:p>
        </w:tc>
        <w:tc>
          <w:tcPr>
            <w:tcW w:w="526" w:type="dxa"/>
          </w:tcPr>
          <w:p w14:paraId="5E2BADCD" w14:textId="77777777" w:rsidR="0020066B" w:rsidRPr="00CD1774" w:rsidRDefault="0020066B" w:rsidP="0020066B">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1</w:t>
            </w:r>
          </w:p>
        </w:tc>
        <w:tc>
          <w:tcPr>
            <w:tcW w:w="709" w:type="dxa"/>
          </w:tcPr>
          <w:p w14:paraId="4CB782D7" w14:textId="3967BFAC" w:rsidR="0020066B" w:rsidRPr="00CD1774" w:rsidRDefault="0020066B" w:rsidP="0020066B">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202</w:t>
            </w:r>
            <w:r>
              <w:rPr>
                <w:sz w:val="14"/>
                <w:szCs w:val="14"/>
              </w:rPr>
              <w:t>4</w:t>
            </w:r>
            <w:r w:rsidRPr="00CD1774">
              <w:rPr>
                <w:sz w:val="14"/>
                <w:szCs w:val="14"/>
              </w:rPr>
              <w:t>-2</w:t>
            </w:r>
            <w:r>
              <w:rPr>
                <w:sz w:val="14"/>
                <w:szCs w:val="14"/>
              </w:rPr>
              <w:t>5</w:t>
            </w:r>
          </w:p>
        </w:tc>
        <w:tc>
          <w:tcPr>
            <w:tcW w:w="708" w:type="dxa"/>
          </w:tcPr>
          <w:p w14:paraId="37235097" w14:textId="77777777" w:rsidR="0020066B" w:rsidRPr="00CD1774" w:rsidRDefault="0020066B" w:rsidP="0020066B">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Ongoing</w:t>
            </w:r>
          </w:p>
        </w:tc>
        <w:tc>
          <w:tcPr>
            <w:tcW w:w="1134" w:type="dxa"/>
          </w:tcPr>
          <w:p w14:paraId="60D78C91" w14:textId="77777777" w:rsidR="0020066B" w:rsidRPr="00CD1774" w:rsidRDefault="0020066B" w:rsidP="0020066B">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Metro suburban</w:t>
            </w:r>
          </w:p>
        </w:tc>
        <w:tc>
          <w:tcPr>
            <w:tcW w:w="991" w:type="dxa"/>
          </w:tcPr>
          <w:p w14:paraId="48387D1A" w14:textId="1D1C5E62" w:rsidR="0020066B" w:rsidRPr="00CD1774" w:rsidRDefault="0020066B" w:rsidP="0020066B">
            <w:pPr>
              <w:cnfStyle w:val="000000000000" w:firstRow="0" w:lastRow="0" w:firstColumn="0" w:lastColumn="0" w:oddVBand="0" w:evenVBand="0" w:oddHBand="0" w:evenHBand="0" w:firstRowFirstColumn="0" w:firstRowLastColumn="0" w:lastRowFirstColumn="0" w:lastRowLastColumn="0"/>
              <w:rPr>
                <w:sz w:val="14"/>
                <w:szCs w:val="14"/>
              </w:rPr>
            </w:pPr>
            <w:r w:rsidRPr="00521EE9">
              <w:rPr>
                <w:sz w:val="14"/>
                <w:szCs w:val="14"/>
              </w:rPr>
              <w:t>$</w:t>
            </w:r>
            <w:r>
              <w:rPr>
                <w:sz w:val="14"/>
                <w:szCs w:val="14"/>
              </w:rPr>
              <w:t>164,199</w:t>
            </w:r>
          </w:p>
        </w:tc>
        <w:tc>
          <w:tcPr>
            <w:tcW w:w="991" w:type="dxa"/>
          </w:tcPr>
          <w:p w14:paraId="3A2433E6" w14:textId="1A232CFF" w:rsidR="0020066B" w:rsidRPr="00CD1774" w:rsidRDefault="0020066B" w:rsidP="0020066B">
            <w:pPr>
              <w:cnfStyle w:val="000000000000" w:firstRow="0" w:lastRow="0" w:firstColumn="0" w:lastColumn="0" w:oddVBand="0" w:evenVBand="0" w:oddHBand="0" w:evenHBand="0" w:firstRowFirstColumn="0" w:firstRowLastColumn="0" w:lastRowFirstColumn="0" w:lastRowLastColumn="0"/>
              <w:rPr>
                <w:sz w:val="14"/>
                <w:szCs w:val="14"/>
              </w:rPr>
            </w:pPr>
            <w:r w:rsidRPr="00C7768C">
              <w:rPr>
                <w:sz w:val="14"/>
                <w:szCs w:val="14"/>
              </w:rPr>
              <w:t>$164,199</w:t>
            </w:r>
          </w:p>
        </w:tc>
        <w:tc>
          <w:tcPr>
            <w:tcW w:w="992" w:type="dxa"/>
          </w:tcPr>
          <w:p w14:paraId="19E7D626" w14:textId="5A21DB8E" w:rsidR="0020066B" w:rsidRPr="00CD1774" w:rsidRDefault="0020066B" w:rsidP="0020066B">
            <w:pPr>
              <w:cnfStyle w:val="000000000000" w:firstRow="0" w:lastRow="0" w:firstColumn="0" w:lastColumn="0" w:oddVBand="0" w:evenVBand="0" w:oddHBand="0" w:evenHBand="0" w:firstRowFirstColumn="0" w:firstRowLastColumn="0" w:lastRowFirstColumn="0" w:lastRowLastColumn="0"/>
              <w:rPr>
                <w:sz w:val="14"/>
                <w:szCs w:val="14"/>
              </w:rPr>
            </w:pPr>
            <w:r w:rsidRPr="00C7768C">
              <w:rPr>
                <w:sz w:val="14"/>
                <w:szCs w:val="14"/>
              </w:rPr>
              <w:t>$164,199</w:t>
            </w:r>
          </w:p>
        </w:tc>
        <w:tc>
          <w:tcPr>
            <w:tcW w:w="991" w:type="dxa"/>
          </w:tcPr>
          <w:p w14:paraId="6E0F303E" w14:textId="06930ECF" w:rsidR="0020066B" w:rsidRPr="00CD1774" w:rsidRDefault="0020066B" w:rsidP="0020066B">
            <w:pPr>
              <w:cnfStyle w:val="000000000000" w:firstRow="0" w:lastRow="0" w:firstColumn="0" w:lastColumn="0" w:oddVBand="0" w:evenVBand="0" w:oddHBand="0" w:evenHBand="0" w:firstRowFirstColumn="0" w:firstRowLastColumn="0" w:lastRowFirstColumn="0" w:lastRowLastColumn="0"/>
              <w:rPr>
                <w:sz w:val="14"/>
                <w:szCs w:val="14"/>
              </w:rPr>
            </w:pPr>
            <w:r w:rsidRPr="00C7768C">
              <w:rPr>
                <w:sz w:val="14"/>
                <w:szCs w:val="14"/>
              </w:rPr>
              <w:t>$164,199</w:t>
            </w:r>
          </w:p>
        </w:tc>
        <w:tc>
          <w:tcPr>
            <w:tcW w:w="992" w:type="dxa"/>
          </w:tcPr>
          <w:p w14:paraId="57BA9C74" w14:textId="687C2B0A" w:rsidR="0020066B" w:rsidRPr="00CD1774" w:rsidRDefault="0020066B" w:rsidP="0020066B">
            <w:pPr>
              <w:cnfStyle w:val="000000000000" w:firstRow="0" w:lastRow="0" w:firstColumn="0" w:lastColumn="0" w:oddVBand="0" w:evenVBand="0" w:oddHBand="0" w:evenHBand="0" w:firstRowFirstColumn="0" w:firstRowLastColumn="0" w:lastRowFirstColumn="0" w:lastRowLastColumn="0"/>
              <w:rPr>
                <w:sz w:val="14"/>
                <w:szCs w:val="14"/>
              </w:rPr>
            </w:pPr>
            <w:r w:rsidRPr="00C7768C">
              <w:rPr>
                <w:sz w:val="14"/>
                <w:szCs w:val="14"/>
              </w:rPr>
              <w:t>$164,199</w:t>
            </w:r>
          </w:p>
        </w:tc>
      </w:tr>
      <w:tr w:rsidR="003700C8" w:rsidRPr="00BB0DF8" w14:paraId="108D436C" w14:textId="77777777">
        <w:trPr>
          <w:trHeight w:val="180"/>
        </w:trPr>
        <w:tc>
          <w:tcPr>
            <w:cnfStyle w:val="001000000000" w:firstRow="0" w:lastRow="0" w:firstColumn="1" w:lastColumn="0" w:oddVBand="0" w:evenVBand="0" w:oddHBand="0" w:evenHBand="0" w:firstRowFirstColumn="0" w:firstRowLastColumn="0" w:lastRowFirstColumn="0" w:lastRowLastColumn="0"/>
            <w:tcW w:w="892" w:type="dxa"/>
          </w:tcPr>
          <w:p w14:paraId="7EF63EF4" w14:textId="77777777" w:rsidR="003700C8" w:rsidRPr="00CD1774" w:rsidRDefault="003700C8" w:rsidP="003700C8">
            <w:pPr>
              <w:rPr>
                <w:sz w:val="14"/>
                <w:szCs w:val="14"/>
              </w:rPr>
            </w:pPr>
            <w:r w:rsidRPr="00CD1774">
              <w:rPr>
                <w:sz w:val="14"/>
                <w:szCs w:val="14"/>
              </w:rPr>
              <w:t>VPS 5</w:t>
            </w:r>
          </w:p>
        </w:tc>
        <w:tc>
          <w:tcPr>
            <w:tcW w:w="526" w:type="dxa"/>
          </w:tcPr>
          <w:p w14:paraId="47DA0935" w14:textId="77777777" w:rsidR="003700C8" w:rsidRPr="00CD1774" w:rsidRDefault="003700C8" w:rsidP="003700C8">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1</w:t>
            </w:r>
          </w:p>
        </w:tc>
        <w:tc>
          <w:tcPr>
            <w:tcW w:w="709" w:type="dxa"/>
          </w:tcPr>
          <w:p w14:paraId="12A005C2" w14:textId="31E7026C" w:rsidR="003700C8" w:rsidRPr="00CD1774" w:rsidRDefault="003700C8" w:rsidP="003700C8">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202</w:t>
            </w:r>
            <w:r>
              <w:rPr>
                <w:sz w:val="14"/>
                <w:szCs w:val="14"/>
              </w:rPr>
              <w:t>5</w:t>
            </w:r>
            <w:r w:rsidRPr="00CD1774">
              <w:rPr>
                <w:sz w:val="14"/>
                <w:szCs w:val="14"/>
              </w:rPr>
              <w:t>-2</w:t>
            </w:r>
            <w:r>
              <w:rPr>
                <w:sz w:val="14"/>
                <w:szCs w:val="14"/>
              </w:rPr>
              <w:t>6</w:t>
            </w:r>
          </w:p>
        </w:tc>
        <w:tc>
          <w:tcPr>
            <w:tcW w:w="708" w:type="dxa"/>
          </w:tcPr>
          <w:p w14:paraId="20098C3D" w14:textId="77777777" w:rsidR="003700C8" w:rsidRPr="00CD1774" w:rsidRDefault="003700C8" w:rsidP="003700C8">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Ongoing</w:t>
            </w:r>
          </w:p>
        </w:tc>
        <w:tc>
          <w:tcPr>
            <w:tcW w:w="1134" w:type="dxa"/>
          </w:tcPr>
          <w:p w14:paraId="2955D2CF" w14:textId="77777777" w:rsidR="003700C8" w:rsidRPr="00CD1774" w:rsidRDefault="003700C8" w:rsidP="003700C8">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Metro suburban</w:t>
            </w:r>
          </w:p>
        </w:tc>
        <w:tc>
          <w:tcPr>
            <w:tcW w:w="991" w:type="dxa"/>
          </w:tcPr>
          <w:p w14:paraId="5C851016" w14:textId="77777777" w:rsidR="003700C8" w:rsidRPr="00CD1774" w:rsidRDefault="003700C8" w:rsidP="003700C8">
            <w:pPr>
              <w:cnfStyle w:val="000000000000" w:firstRow="0" w:lastRow="0" w:firstColumn="0" w:lastColumn="0" w:oddVBand="0" w:evenVBand="0" w:oddHBand="0" w:evenHBand="0" w:firstRowFirstColumn="0" w:firstRowLastColumn="0" w:lastRowFirstColumn="0" w:lastRowLastColumn="0"/>
              <w:rPr>
                <w:sz w:val="14"/>
                <w:szCs w:val="14"/>
              </w:rPr>
            </w:pPr>
          </w:p>
        </w:tc>
        <w:tc>
          <w:tcPr>
            <w:tcW w:w="991" w:type="dxa"/>
          </w:tcPr>
          <w:p w14:paraId="77C7015E" w14:textId="62AC5CDE" w:rsidR="003700C8" w:rsidRPr="00CD1774" w:rsidRDefault="003700C8" w:rsidP="003700C8">
            <w:pP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w:t>
            </w:r>
            <w:r>
              <w:rPr>
                <w:sz w:val="14"/>
                <w:szCs w:val="14"/>
              </w:rPr>
              <w:t>171,346</w:t>
            </w:r>
          </w:p>
        </w:tc>
        <w:tc>
          <w:tcPr>
            <w:tcW w:w="992" w:type="dxa"/>
          </w:tcPr>
          <w:p w14:paraId="288C6A23" w14:textId="43BBEFAC" w:rsidR="003700C8" w:rsidRPr="00CD1774" w:rsidRDefault="003700C8" w:rsidP="003700C8">
            <w:pPr>
              <w:cnfStyle w:val="000000000000" w:firstRow="0" w:lastRow="0" w:firstColumn="0" w:lastColumn="0" w:oddVBand="0" w:evenVBand="0" w:oddHBand="0" w:evenHBand="0" w:firstRowFirstColumn="0" w:firstRowLastColumn="0" w:lastRowFirstColumn="0" w:lastRowLastColumn="0"/>
              <w:rPr>
                <w:sz w:val="14"/>
                <w:szCs w:val="14"/>
              </w:rPr>
            </w:pPr>
            <w:r w:rsidRPr="00C61836">
              <w:rPr>
                <w:sz w:val="14"/>
                <w:szCs w:val="14"/>
              </w:rPr>
              <w:t>$171,346</w:t>
            </w:r>
          </w:p>
        </w:tc>
        <w:tc>
          <w:tcPr>
            <w:tcW w:w="991" w:type="dxa"/>
          </w:tcPr>
          <w:p w14:paraId="2DD08547" w14:textId="2DD145A6" w:rsidR="003700C8" w:rsidRPr="00CD1774" w:rsidRDefault="003700C8" w:rsidP="003700C8">
            <w:pPr>
              <w:cnfStyle w:val="000000000000" w:firstRow="0" w:lastRow="0" w:firstColumn="0" w:lastColumn="0" w:oddVBand="0" w:evenVBand="0" w:oddHBand="0" w:evenHBand="0" w:firstRowFirstColumn="0" w:firstRowLastColumn="0" w:lastRowFirstColumn="0" w:lastRowLastColumn="0"/>
              <w:rPr>
                <w:sz w:val="14"/>
                <w:szCs w:val="14"/>
              </w:rPr>
            </w:pPr>
            <w:r w:rsidRPr="00C61836">
              <w:rPr>
                <w:sz w:val="14"/>
                <w:szCs w:val="14"/>
              </w:rPr>
              <w:t>$171,346</w:t>
            </w:r>
          </w:p>
        </w:tc>
        <w:tc>
          <w:tcPr>
            <w:tcW w:w="992" w:type="dxa"/>
          </w:tcPr>
          <w:p w14:paraId="3395AFFD" w14:textId="29D7EF48" w:rsidR="003700C8" w:rsidRPr="00CD1774" w:rsidRDefault="003700C8" w:rsidP="003700C8">
            <w:pPr>
              <w:cnfStyle w:val="000000000000" w:firstRow="0" w:lastRow="0" w:firstColumn="0" w:lastColumn="0" w:oddVBand="0" w:evenVBand="0" w:oddHBand="0" w:evenHBand="0" w:firstRowFirstColumn="0" w:firstRowLastColumn="0" w:lastRowFirstColumn="0" w:lastRowLastColumn="0"/>
              <w:rPr>
                <w:sz w:val="14"/>
                <w:szCs w:val="14"/>
              </w:rPr>
            </w:pPr>
            <w:r w:rsidRPr="00C61836">
              <w:rPr>
                <w:sz w:val="14"/>
                <w:szCs w:val="14"/>
              </w:rPr>
              <w:t>$171,346</w:t>
            </w:r>
          </w:p>
        </w:tc>
      </w:tr>
    </w:tbl>
    <w:p w14:paraId="166036CA" w14:textId="72381440" w:rsidR="003911A1" w:rsidRPr="00682215" w:rsidRDefault="003911A1" w:rsidP="003911A1">
      <w:pPr>
        <w:pStyle w:val="ListBullet"/>
      </w:pPr>
      <w:r w:rsidRPr="00682215">
        <w:t xml:space="preserve">Salary costs should be calculated as the proportion of the year that FTE staff will be employed. For example: costs in </w:t>
      </w:r>
      <w:r w:rsidR="00C06F9D" w:rsidRPr="00682215">
        <w:t>202</w:t>
      </w:r>
      <w:r w:rsidR="00C06F9D">
        <w:t>5</w:t>
      </w:r>
      <w:r w:rsidR="00C06F9D" w:rsidRPr="00682215">
        <w:t>-2</w:t>
      </w:r>
      <w:r w:rsidR="00C06F9D">
        <w:t>6</w:t>
      </w:r>
      <w:r w:rsidR="00C06F9D" w:rsidRPr="00682215">
        <w:t xml:space="preserve"> </w:t>
      </w:r>
      <w:r w:rsidRPr="00682215">
        <w:t>for a</w:t>
      </w:r>
      <w:r>
        <w:t xml:space="preserve"> 1.0</w:t>
      </w:r>
      <w:r w:rsidRPr="00682215">
        <w:t xml:space="preserve"> FTE VPS staff member that will begin on 1 December </w:t>
      </w:r>
      <w:r w:rsidR="00C34257" w:rsidRPr="00682215">
        <w:t>202</w:t>
      </w:r>
      <w:r w:rsidR="00C34257">
        <w:t>5</w:t>
      </w:r>
      <w:r w:rsidRPr="00682215">
        <w:t xml:space="preserve"> should be calculated as 7/12 months or 58.3 per cent of the total standard cost.  </w:t>
      </w:r>
    </w:p>
    <w:p w14:paraId="0422B1D6" w14:textId="77777777" w:rsidR="003911A1" w:rsidRDefault="003911A1" w:rsidP="003911A1">
      <w:pPr>
        <w:pStyle w:val="Heading2"/>
      </w:pPr>
      <w:r>
        <w:t>Standard costing model for VPS staff</w:t>
      </w:r>
    </w:p>
    <w:p w14:paraId="420D1909" w14:textId="63DC7789" w:rsidR="003911A1" w:rsidRDefault="003911A1" w:rsidP="003911A1">
      <w:r>
        <w:t xml:space="preserve">DTF has prepared a standard cost model that must be used for all </w:t>
      </w:r>
      <w:r w:rsidR="00271DE2">
        <w:t xml:space="preserve">2025-26 </w:t>
      </w:r>
      <w:r>
        <w:t xml:space="preserve">budget submissions that include costings for VPS staff. The standard cost model covers both executive and non-executive officers and is based on the salary increases </w:t>
      </w:r>
      <w:r w:rsidR="00ED5392">
        <w:t xml:space="preserve">in the VPS Enterprise Agreement (2024 VPS EBA) and the Government’s Wages Policy and Enterprise Bargaining </w:t>
      </w:r>
      <w:r w:rsidDel="00ED5392">
        <w:t>Framework</w:t>
      </w:r>
      <w:r>
        <w:t>. The salary points in the following tables should apply from the year in which the VPS staff commences.</w:t>
      </w:r>
    </w:p>
    <w:p w14:paraId="0B865440" w14:textId="77777777" w:rsidR="003911A1" w:rsidRDefault="003911A1" w:rsidP="003911A1">
      <w:r>
        <w:br w:type="page"/>
      </w:r>
    </w:p>
    <w:tbl>
      <w:tblPr>
        <w:tblStyle w:val="DTFfinancialtable"/>
        <w:tblW w:w="5000" w:type="pct"/>
        <w:tblLayout w:type="fixed"/>
        <w:tblLook w:val="04A0" w:firstRow="1" w:lastRow="0" w:firstColumn="1" w:lastColumn="0" w:noHBand="0" w:noVBand="1"/>
      </w:tblPr>
      <w:tblGrid>
        <w:gridCol w:w="2030"/>
        <w:gridCol w:w="874"/>
        <w:gridCol w:w="875"/>
        <w:gridCol w:w="874"/>
        <w:gridCol w:w="875"/>
        <w:gridCol w:w="874"/>
        <w:gridCol w:w="875"/>
        <w:gridCol w:w="874"/>
        <w:gridCol w:w="875"/>
      </w:tblGrid>
      <w:tr w:rsidR="003911A1" w:rsidRPr="008E3944" w14:paraId="26F2D926" w14:textId="777777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3B5AD6E5" w14:textId="5EDD9612" w:rsidR="003911A1" w:rsidRPr="008E3944" w:rsidRDefault="003911A1">
            <w:r w:rsidRPr="008E3944">
              <w:t xml:space="preserve">VPS staff </w:t>
            </w:r>
            <w:r>
              <w:t>–</w:t>
            </w:r>
            <w:r w:rsidRPr="008E3944">
              <w:t xml:space="preserve"> Commencing in </w:t>
            </w:r>
            <w:r w:rsidR="0036345A" w:rsidRPr="008E3944">
              <w:t>202</w:t>
            </w:r>
            <w:r w:rsidR="0036345A">
              <w:t>4</w:t>
            </w:r>
            <w:r w:rsidR="0036345A" w:rsidRPr="008E3944">
              <w:t>-2</w:t>
            </w:r>
            <w:r w:rsidR="0036345A">
              <w:t>5</w:t>
            </w:r>
            <w:r w:rsidR="0036345A" w:rsidRPr="008E3944" w:rsidDel="0036345A">
              <w:t xml:space="preserve"> </w:t>
            </w:r>
            <w:r w:rsidRPr="009E6BD4">
              <w:rPr>
                <w:vertAlign w:val="superscript"/>
              </w:rPr>
              <w:t>(a)</w:t>
            </w:r>
          </w:p>
        </w:tc>
      </w:tr>
      <w:tr w:rsidR="003911A1" w:rsidRPr="008E3944" w14:paraId="07B1C1D2" w14:textId="777777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2030" w:type="dxa"/>
            <w:noWrap/>
            <w:hideMark/>
          </w:tcPr>
          <w:p w14:paraId="4D8144FF" w14:textId="77777777" w:rsidR="003911A1" w:rsidRPr="008E3944" w:rsidRDefault="003911A1">
            <w:r w:rsidRPr="008E3944">
              <w:t> </w:t>
            </w:r>
          </w:p>
        </w:tc>
        <w:tc>
          <w:tcPr>
            <w:tcW w:w="874" w:type="dxa"/>
            <w:noWrap/>
            <w:hideMark/>
          </w:tcPr>
          <w:p w14:paraId="7340BB55"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2</w:t>
            </w:r>
          </w:p>
        </w:tc>
        <w:tc>
          <w:tcPr>
            <w:tcW w:w="875" w:type="dxa"/>
            <w:noWrap/>
            <w:hideMark/>
          </w:tcPr>
          <w:p w14:paraId="155F9DC6"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3</w:t>
            </w:r>
          </w:p>
        </w:tc>
        <w:tc>
          <w:tcPr>
            <w:tcW w:w="874" w:type="dxa"/>
            <w:noWrap/>
            <w:hideMark/>
          </w:tcPr>
          <w:p w14:paraId="10346C01"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4</w:t>
            </w:r>
          </w:p>
        </w:tc>
        <w:tc>
          <w:tcPr>
            <w:tcW w:w="875" w:type="dxa"/>
            <w:noWrap/>
            <w:hideMark/>
          </w:tcPr>
          <w:p w14:paraId="4620293F"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5</w:t>
            </w:r>
          </w:p>
        </w:tc>
        <w:tc>
          <w:tcPr>
            <w:tcW w:w="874" w:type="dxa"/>
            <w:noWrap/>
            <w:hideMark/>
          </w:tcPr>
          <w:p w14:paraId="5ADB2948"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6</w:t>
            </w:r>
          </w:p>
        </w:tc>
        <w:tc>
          <w:tcPr>
            <w:tcW w:w="875" w:type="dxa"/>
            <w:noWrap/>
            <w:hideMark/>
          </w:tcPr>
          <w:p w14:paraId="24CB8F5E"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STS</w:t>
            </w:r>
          </w:p>
        </w:tc>
        <w:tc>
          <w:tcPr>
            <w:tcW w:w="874" w:type="dxa"/>
            <w:noWrap/>
            <w:hideMark/>
          </w:tcPr>
          <w:p w14:paraId="3047C551"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75" w:type="dxa"/>
            <w:noWrap/>
            <w:hideMark/>
          </w:tcPr>
          <w:p w14:paraId="4C6988CB" w14:textId="77777777" w:rsidR="003911A1" w:rsidRPr="00682215" w:rsidRDefault="003911A1">
            <w:pPr>
              <w:jc w:val="center"/>
              <w:cnfStyle w:val="100000000000" w:firstRow="1" w:lastRow="0" w:firstColumn="0" w:lastColumn="0" w:oddVBand="0" w:evenVBand="0" w:oddHBand="0" w:evenHBand="0" w:firstRowFirstColumn="0" w:firstRowLastColumn="0" w:lastRowFirstColumn="0" w:lastRowLastColumn="0"/>
            </w:pPr>
            <w:r w:rsidRPr="00682215">
              <w:t>SES-2</w:t>
            </w:r>
          </w:p>
        </w:tc>
      </w:tr>
      <w:tr w:rsidR="00B87AEF" w:rsidRPr="00C82289" w14:paraId="4F80BF05" w14:textId="77777777">
        <w:trPr>
          <w:trHeight w:val="229"/>
        </w:trPr>
        <w:tc>
          <w:tcPr>
            <w:cnfStyle w:val="001000000000" w:firstRow="0" w:lastRow="0" w:firstColumn="1" w:lastColumn="0" w:oddVBand="0" w:evenVBand="0" w:oddHBand="0" w:evenHBand="0" w:firstRowFirstColumn="0" w:firstRowLastColumn="0" w:lastRowFirstColumn="0" w:lastRowLastColumn="0"/>
            <w:tcW w:w="2030" w:type="dxa"/>
            <w:tcBorders>
              <w:bottom w:val="single" w:sz="6" w:space="0" w:color="BFBFBF" w:themeColor="background1" w:themeShade="BF"/>
            </w:tcBorders>
            <w:noWrap/>
            <w:hideMark/>
          </w:tcPr>
          <w:p w14:paraId="4965423F" w14:textId="4F461B00" w:rsidR="00B87AEF" w:rsidRPr="00976FA8" w:rsidRDefault="00B87AEF" w:rsidP="00B87AEF">
            <w:pPr>
              <w:rPr>
                <w:sz w:val="15"/>
                <w:szCs w:val="15"/>
              </w:rPr>
            </w:pPr>
            <w:r w:rsidRPr="00976FA8">
              <w:rPr>
                <w:sz w:val="15"/>
                <w:szCs w:val="15"/>
              </w:rPr>
              <w:t>202</w:t>
            </w:r>
            <w:r>
              <w:rPr>
                <w:sz w:val="15"/>
                <w:szCs w:val="15"/>
              </w:rPr>
              <w:t>4</w:t>
            </w:r>
            <w:r w:rsidRPr="00976FA8">
              <w:rPr>
                <w:sz w:val="15"/>
                <w:szCs w:val="15"/>
              </w:rPr>
              <w:t>-2</w:t>
            </w:r>
            <w:r>
              <w:rPr>
                <w:sz w:val="15"/>
                <w:szCs w:val="15"/>
              </w:rPr>
              <w:t>5</w:t>
            </w:r>
            <w:r w:rsidRPr="00976FA8">
              <w:rPr>
                <w:sz w:val="15"/>
                <w:szCs w:val="15"/>
              </w:rPr>
              <w:t xml:space="preserve"> mid salary point</w:t>
            </w:r>
          </w:p>
        </w:tc>
        <w:tc>
          <w:tcPr>
            <w:tcW w:w="874" w:type="dxa"/>
            <w:tcBorders>
              <w:bottom w:val="single" w:sz="6" w:space="0" w:color="BFBFBF" w:themeColor="background1" w:themeShade="BF"/>
            </w:tcBorders>
            <w:noWrap/>
            <w:vAlign w:val="center"/>
            <w:hideMark/>
          </w:tcPr>
          <w:p w14:paraId="4CAB4420" w14:textId="4A041005"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$66,857 </w:t>
            </w:r>
          </w:p>
        </w:tc>
        <w:tc>
          <w:tcPr>
            <w:tcW w:w="875" w:type="dxa"/>
            <w:tcBorders>
              <w:bottom w:val="single" w:sz="6" w:space="0" w:color="BFBFBF" w:themeColor="background1" w:themeShade="BF"/>
            </w:tcBorders>
            <w:noWrap/>
            <w:vAlign w:val="center"/>
            <w:hideMark/>
          </w:tcPr>
          <w:p w14:paraId="61616646" w14:textId="69A11D04"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$85,046 </w:t>
            </w:r>
          </w:p>
        </w:tc>
        <w:tc>
          <w:tcPr>
            <w:tcW w:w="874" w:type="dxa"/>
            <w:tcBorders>
              <w:bottom w:val="single" w:sz="6" w:space="0" w:color="BFBFBF" w:themeColor="background1" w:themeShade="BF"/>
            </w:tcBorders>
            <w:noWrap/>
            <w:vAlign w:val="center"/>
            <w:hideMark/>
          </w:tcPr>
          <w:p w14:paraId="709D85C9" w14:textId="17B690AA"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$101,504 </w:t>
            </w:r>
          </w:p>
        </w:tc>
        <w:tc>
          <w:tcPr>
            <w:tcW w:w="875" w:type="dxa"/>
            <w:tcBorders>
              <w:bottom w:val="single" w:sz="6" w:space="0" w:color="BFBFBF" w:themeColor="background1" w:themeShade="BF"/>
            </w:tcBorders>
            <w:noWrap/>
            <w:vAlign w:val="center"/>
            <w:hideMark/>
          </w:tcPr>
          <w:p w14:paraId="6622619C" w14:textId="6F6F848C"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$121,247 </w:t>
            </w:r>
          </w:p>
        </w:tc>
        <w:tc>
          <w:tcPr>
            <w:tcW w:w="874" w:type="dxa"/>
            <w:tcBorders>
              <w:bottom w:val="single" w:sz="6" w:space="0" w:color="BFBFBF" w:themeColor="background1" w:themeShade="BF"/>
            </w:tcBorders>
            <w:noWrap/>
            <w:vAlign w:val="center"/>
            <w:hideMark/>
          </w:tcPr>
          <w:p w14:paraId="50078599" w14:textId="0A1F6724"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$157,354 </w:t>
            </w:r>
          </w:p>
        </w:tc>
        <w:tc>
          <w:tcPr>
            <w:tcW w:w="875" w:type="dxa"/>
            <w:tcBorders>
              <w:bottom w:val="single" w:sz="6" w:space="0" w:color="BFBFBF" w:themeColor="background1" w:themeShade="BF"/>
            </w:tcBorders>
            <w:noWrap/>
            <w:vAlign w:val="center"/>
            <w:hideMark/>
          </w:tcPr>
          <w:p w14:paraId="4B9D15F3" w14:textId="5199C4B4"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$215,721 </w:t>
            </w:r>
          </w:p>
        </w:tc>
        <w:tc>
          <w:tcPr>
            <w:tcW w:w="874" w:type="dxa"/>
            <w:tcBorders>
              <w:bottom w:val="single" w:sz="6" w:space="0" w:color="BFBFBF" w:themeColor="background1" w:themeShade="BF"/>
            </w:tcBorders>
            <w:noWrap/>
            <w:vAlign w:val="center"/>
            <w:hideMark/>
          </w:tcPr>
          <w:p w14:paraId="645FDD2C" w14:textId="49932D56"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$231,211 </w:t>
            </w:r>
          </w:p>
        </w:tc>
        <w:tc>
          <w:tcPr>
            <w:tcW w:w="875" w:type="dxa"/>
            <w:tcBorders>
              <w:bottom w:val="single" w:sz="6" w:space="0" w:color="BFBFBF" w:themeColor="background1" w:themeShade="BF"/>
            </w:tcBorders>
            <w:noWrap/>
            <w:vAlign w:val="center"/>
            <w:hideMark/>
          </w:tcPr>
          <w:p w14:paraId="4CB4CF47" w14:textId="1E130D41"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$318,207 </w:t>
            </w:r>
          </w:p>
        </w:tc>
      </w:tr>
      <w:tr w:rsidR="00B87AEF" w:rsidRPr="00F5579A" w14:paraId="381494AA" w14:textId="7777777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tcPr>
          <w:p w14:paraId="192CEFB2" w14:textId="77777777" w:rsidR="00B87AEF" w:rsidRPr="00976FA8" w:rsidRDefault="00B87AEF" w:rsidP="00B87AEF">
            <w:pPr>
              <w:rPr>
                <w:sz w:val="15"/>
                <w:szCs w:val="15"/>
              </w:rPr>
            </w:pPr>
            <w:r w:rsidRPr="00976FA8">
              <w:rPr>
                <w:sz w:val="15"/>
                <w:szCs w:val="15"/>
              </w:rPr>
              <w:t xml:space="preserve">Mobility payment </w:t>
            </w:r>
          </w:p>
        </w:tc>
        <w:tc>
          <w:tcPr>
            <w:tcW w:w="874" w:type="dxa"/>
            <w:tcBorders>
              <w:top w:val="single" w:sz="6" w:space="0" w:color="BFBFBF" w:themeColor="background1" w:themeShade="BF"/>
              <w:bottom w:val="single" w:sz="6" w:space="0" w:color="BFBFBF" w:themeColor="background1" w:themeShade="BF"/>
            </w:tcBorders>
            <w:noWrap/>
            <w:vAlign w:val="center"/>
          </w:tcPr>
          <w:p w14:paraId="6BF44113" w14:textId="02740F90"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$0 </w:t>
            </w:r>
          </w:p>
        </w:tc>
        <w:tc>
          <w:tcPr>
            <w:tcW w:w="875" w:type="dxa"/>
            <w:tcBorders>
              <w:top w:val="single" w:sz="6" w:space="0" w:color="BFBFBF" w:themeColor="background1" w:themeShade="BF"/>
              <w:bottom w:val="single" w:sz="6" w:space="0" w:color="BFBFBF" w:themeColor="background1" w:themeShade="BF"/>
            </w:tcBorders>
            <w:noWrap/>
            <w:vAlign w:val="center"/>
          </w:tcPr>
          <w:p w14:paraId="147165B3" w14:textId="59182045"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$0 </w:t>
            </w:r>
          </w:p>
        </w:tc>
        <w:tc>
          <w:tcPr>
            <w:tcW w:w="874" w:type="dxa"/>
            <w:tcBorders>
              <w:top w:val="single" w:sz="6" w:space="0" w:color="BFBFBF" w:themeColor="background1" w:themeShade="BF"/>
              <w:bottom w:val="single" w:sz="6" w:space="0" w:color="BFBFBF" w:themeColor="background1" w:themeShade="BF"/>
            </w:tcBorders>
            <w:noWrap/>
            <w:vAlign w:val="center"/>
          </w:tcPr>
          <w:p w14:paraId="5D5737CD" w14:textId="49C8E812"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$0 </w:t>
            </w:r>
          </w:p>
        </w:tc>
        <w:tc>
          <w:tcPr>
            <w:tcW w:w="875" w:type="dxa"/>
            <w:tcBorders>
              <w:top w:val="single" w:sz="6" w:space="0" w:color="BFBFBF" w:themeColor="background1" w:themeShade="BF"/>
              <w:bottom w:val="single" w:sz="6" w:space="0" w:color="BFBFBF" w:themeColor="background1" w:themeShade="BF"/>
            </w:tcBorders>
            <w:noWrap/>
            <w:vAlign w:val="center"/>
          </w:tcPr>
          <w:p w14:paraId="7604A104" w14:textId="2AA38390"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$0 </w:t>
            </w:r>
          </w:p>
        </w:tc>
        <w:tc>
          <w:tcPr>
            <w:tcW w:w="874" w:type="dxa"/>
            <w:tcBorders>
              <w:top w:val="single" w:sz="6" w:space="0" w:color="BFBFBF" w:themeColor="background1" w:themeShade="BF"/>
              <w:bottom w:val="single" w:sz="6" w:space="0" w:color="BFBFBF" w:themeColor="background1" w:themeShade="BF"/>
            </w:tcBorders>
            <w:noWrap/>
            <w:vAlign w:val="center"/>
          </w:tcPr>
          <w:p w14:paraId="2AA205B9" w14:textId="6348ADF3"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$0 </w:t>
            </w:r>
          </w:p>
        </w:tc>
        <w:tc>
          <w:tcPr>
            <w:tcW w:w="875" w:type="dxa"/>
            <w:tcBorders>
              <w:top w:val="single" w:sz="6" w:space="0" w:color="BFBFBF" w:themeColor="background1" w:themeShade="BF"/>
              <w:bottom w:val="single" w:sz="6" w:space="0" w:color="BFBFBF" w:themeColor="background1" w:themeShade="BF"/>
            </w:tcBorders>
            <w:noWrap/>
            <w:vAlign w:val="center"/>
          </w:tcPr>
          <w:p w14:paraId="24C25A02" w14:textId="466A0D95"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$0 </w:t>
            </w:r>
          </w:p>
        </w:tc>
        <w:tc>
          <w:tcPr>
            <w:tcW w:w="874" w:type="dxa"/>
            <w:tcBorders>
              <w:top w:val="single" w:sz="6" w:space="0" w:color="BFBFBF" w:themeColor="background1" w:themeShade="BF"/>
              <w:bottom w:val="single" w:sz="6" w:space="0" w:color="BFBFBF" w:themeColor="background1" w:themeShade="BF"/>
            </w:tcBorders>
            <w:noWrap/>
            <w:vAlign w:val="center"/>
          </w:tcPr>
          <w:p w14:paraId="4F03C35C" w14:textId="7D9AB237"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$0 </w:t>
            </w:r>
          </w:p>
        </w:tc>
        <w:tc>
          <w:tcPr>
            <w:tcW w:w="875" w:type="dxa"/>
            <w:tcBorders>
              <w:top w:val="single" w:sz="6" w:space="0" w:color="BFBFBF" w:themeColor="background1" w:themeShade="BF"/>
              <w:bottom w:val="single" w:sz="6" w:space="0" w:color="BFBFBF" w:themeColor="background1" w:themeShade="BF"/>
            </w:tcBorders>
            <w:noWrap/>
            <w:vAlign w:val="center"/>
          </w:tcPr>
          <w:p w14:paraId="5E6A88F2" w14:textId="47C31061"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$0 </w:t>
            </w:r>
          </w:p>
        </w:tc>
      </w:tr>
      <w:tr w:rsidR="00B87AEF" w:rsidRPr="00C82289" w14:paraId="2D49A69B" w14:textId="77777777">
        <w:trPr>
          <w:trHeight w:val="264"/>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0898150E" w14:textId="77777777" w:rsidR="00B87AEF" w:rsidRPr="00976FA8" w:rsidRDefault="00B87AEF" w:rsidP="00B87AEF">
            <w:pPr>
              <w:rPr>
                <w:sz w:val="15"/>
                <w:szCs w:val="15"/>
              </w:rPr>
            </w:pPr>
            <w:r w:rsidRPr="00976FA8">
              <w:rPr>
                <w:sz w:val="15"/>
                <w:szCs w:val="15"/>
              </w:rPr>
              <w:t>Superannuation</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4D6C5EA7" w14:textId="6C418BD5"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$7,689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5177F8B8" w14:textId="301C6F93"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$9,780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028D92B3" w14:textId="684B3149"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$11,673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0C418711" w14:textId="1CA4F3E5"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$13,943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48E746D5" w14:textId="1AE1AF0D"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$18,096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6B9537ED" w14:textId="745DF9E9"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$24,808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568F78DB" w14:textId="7542D40A"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$26,589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591C49D7" w14:textId="7F7532C6"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$36,594 </w:t>
            </w:r>
          </w:p>
        </w:tc>
      </w:tr>
      <w:tr w:rsidR="00B87AEF" w:rsidRPr="00C82289" w14:paraId="7ED4EE38" w14:textId="77777777">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7D89588E" w14:textId="77777777" w:rsidR="00B87AEF" w:rsidRPr="00976FA8" w:rsidRDefault="00B87AEF" w:rsidP="00B87AEF">
            <w:pPr>
              <w:rPr>
                <w:sz w:val="15"/>
                <w:szCs w:val="15"/>
              </w:rPr>
            </w:pPr>
            <w:r w:rsidRPr="00976FA8">
              <w:rPr>
                <w:sz w:val="15"/>
                <w:szCs w:val="15"/>
              </w:rPr>
              <w:t>Salary on-costs – Rate</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19172E08" w14:textId="18C13C3B"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12.74%</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294DB8DB" w14:textId="6422C844"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12.74%</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25B97C22" w14:textId="7E483288"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12.74%</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57DBDE45" w14:textId="21356707"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12.59%</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28EAE691" w14:textId="78A22BBB"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12.31%</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569C18EC" w14:textId="12C55DFA"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12.06%</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3D75042E" w14:textId="32159812"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11.28%</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4D2E2882" w14:textId="1F4FD915"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11.28%</w:t>
            </w:r>
          </w:p>
        </w:tc>
      </w:tr>
      <w:tr w:rsidR="00B87AEF" w:rsidRPr="00C82289" w14:paraId="08E41D44" w14:textId="77777777">
        <w:trPr>
          <w:trHeight w:val="258"/>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tcPr>
          <w:p w14:paraId="49C3E93B" w14:textId="77777777" w:rsidR="00B87AEF" w:rsidRPr="00976FA8" w:rsidRDefault="00B87AEF" w:rsidP="00B87AEF">
            <w:pPr>
              <w:rPr>
                <w:sz w:val="15"/>
                <w:szCs w:val="15"/>
              </w:rPr>
            </w:pPr>
            <w:r w:rsidRPr="00976FA8">
              <w:rPr>
                <w:sz w:val="15"/>
                <w:szCs w:val="15"/>
              </w:rPr>
              <w:t>Mobility on-cost – Rate</w:t>
            </w:r>
          </w:p>
        </w:tc>
        <w:tc>
          <w:tcPr>
            <w:tcW w:w="874" w:type="dxa"/>
            <w:tcBorders>
              <w:top w:val="single" w:sz="6" w:space="0" w:color="BFBFBF" w:themeColor="background1" w:themeShade="BF"/>
              <w:bottom w:val="single" w:sz="6" w:space="0" w:color="BFBFBF" w:themeColor="background1" w:themeShade="BF"/>
            </w:tcBorders>
            <w:noWrap/>
            <w:vAlign w:val="center"/>
          </w:tcPr>
          <w:p w14:paraId="7BD76541" w14:textId="1DCF2987"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5" w:type="dxa"/>
            <w:tcBorders>
              <w:top w:val="single" w:sz="6" w:space="0" w:color="BFBFBF" w:themeColor="background1" w:themeShade="BF"/>
              <w:bottom w:val="single" w:sz="6" w:space="0" w:color="BFBFBF" w:themeColor="background1" w:themeShade="BF"/>
            </w:tcBorders>
            <w:noWrap/>
            <w:vAlign w:val="center"/>
          </w:tcPr>
          <w:p w14:paraId="1154733D" w14:textId="020F668C"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4" w:type="dxa"/>
            <w:tcBorders>
              <w:top w:val="single" w:sz="6" w:space="0" w:color="BFBFBF" w:themeColor="background1" w:themeShade="BF"/>
              <w:bottom w:val="single" w:sz="6" w:space="0" w:color="BFBFBF" w:themeColor="background1" w:themeShade="BF"/>
            </w:tcBorders>
            <w:noWrap/>
            <w:vAlign w:val="center"/>
          </w:tcPr>
          <w:p w14:paraId="6FD5B21D" w14:textId="68873B60"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5" w:type="dxa"/>
            <w:tcBorders>
              <w:top w:val="single" w:sz="6" w:space="0" w:color="BFBFBF" w:themeColor="background1" w:themeShade="BF"/>
              <w:bottom w:val="single" w:sz="6" w:space="0" w:color="BFBFBF" w:themeColor="background1" w:themeShade="BF"/>
            </w:tcBorders>
            <w:noWrap/>
            <w:vAlign w:val="center"/>
          </w:tcPr>
          <w:p w14:paraId="741F0342" w14:textId="5D56A22D"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4" w:type="dxa"/>
            <w:tcBorders>
              <w:top w:val="single" w:sz="6" w:space="0" w:color="BFBFBF" w:themeColor="background1" w:themeShade="BF"/>
              <w:bottom w:val="single" w:sz="6" w:space="0" w:color="BFBFBF" w:themeColor="background1" w:themeShade="BF"/>
            </w:tcBorders>
            <w:noWrap/>
            <w:vAlign w:val="center"/>
          </w:tcPr>
          <w:p w14:paraId="64CCFD93" w14:textId="5704F369"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5" w:type="dxa"/>
            <w:tcBorders>
              <w:top w:val="single" w:sz="6" w:space="0" w:color="BFBFBF" w:themeColor="background1" w:themeShade="BF"/>
              <w:bottom w:val="single" w:sz="6" w:space="0" w:color="BFBFBF" w:themeColor="background1" w:themeShade="BF"/>
            </w:tcBorders>
            <w:noWrap/>
            <w:vAlign w:val="center"/>
          </w:tcPr>
          <w:p w14:paraId="2728E152" w14:textId="0D0FE8C6"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4" w:type="dxa"/>
            <w:tcBorders>
              <w:top w:val="single" w:sz="6" w:space="0" w:color="BFBFBF" w:themeColor="background1" w:themeShade="BF"/>
              <w:bottom w:val="single" w:sz="6" w:space="0" w:color="BFBFBF" w:themeColor="background1" w:themeShade="BF"/>
            </w:tcBorders>
            <w:noWrap/>
            <w:vAlign w:val="center"/>
          </w:tcPr>
          <w:p w14:paraId="6658D65C" w14:textId="45914393"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0.00%</w:t>
            </w:r>
          </w:p>
        </w:tc>
        <w:tc>
          <w:tcPr>
            <w:tcW w:w="875" w:type="dxa"/>
            <w:tcBorders>
              <w:top w:val="single" w:sz="6" w:space="0" w:color="BFBFBF" w:themeColor="background1" w:themeShade="BF"/>
              <w:bottom w:val="single" w:sz="6" w:space="0" w:color="BFBFBF" w:themeColor="background1" w:themeShade="BF"/>
            </w:tcBorders>
            <w:noWrap/>
            <w:vAlign w:val="center"/>
          </w:tcPr>
          <w:p w14:paraId="792483E0" w14:textId="48779A7C"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0.00%</w:t>
            </w:r>
          </w:p>
        </w:tc>
      </w:tr>
      <w:tr w:rsidR="00B87AEF" w:rsidRPr="00C82289" w14:paraId="4DD719DC" w14:textId="77777777">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32437AF8" w14:textId="77777777" w:rsidR="00B87AEF" w:rsidRPr="0049240E" w:rsidRDefault="00B87AEF" w:rsidP="00B87AEF">
            <w:pPr>
              <w:rPr>
                <w:sz w:val="15"/>
                <w:szCs w:val="15"/>
              </w:rPr>
            </w:pPr>
            <w:r w:rsidRPr="0049240E">
              <w:rPr>
                <w:sz w:val="15"/>
                <w:szCs w:val="15"/>
              </w:rPr>
              <w:t>On-costs –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61D13796" w14:textId="6229C69C"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$8,515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324E57E0" w14:textId="5BE61D6E"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$10,831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028DF2D0" w14:textId="13B2274C"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$12,927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1AA8BF26" w14:textId="62D3E4B6"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$15,262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56B9E760" w14:textId="4AB31EF6"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$19,373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34EE4529" w14:textId="534908B5"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$26,018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33E01654" w14:textId="5C4EA7CA"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$26,079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36C56597" w14:textId="68A3C850"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$35,892 </w:t>
            </w:r>
          </w:p>
        </w:tc>
      </w:tr>
      <w:tr w:rsidR="00B87AEF" w:rsidRPr="00C82289" w14:paraId="46516D62" w14:textId="77777777">
        <w:trPr>
          <w:trHeight w:val="265"/>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5007FC1D" w14:textId="77777777" w:rsidR="00B87AEF" w:rsidRPr="0049240E" w:rsidRDefault="00B87AEF" w:rsidP="00B87AEF">
            <w:pPr>
              <w:rPr>
                <w:sz w:val="15"/>
                <w:szCs w:val="15"/>
              </w:rPr>
            </w:pPr>
            <w:r w:rsidRPr="0049240E">
              <w:rPr>
                <w:sz w:val="15"/>
                <w:szCs w:val="15"/>
              </w:rPr>
              <w:t>Operating costs</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5D5FD3A7" w14:textId="641AA6E8"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$13,747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404795D2" w14:textId="5CA381AF"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$13,747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154B5F33" w14:textId="6CEFF406"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$13,747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078FED11" w14:textId="2D93DA79"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$13,747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378647DE" w14:textId="219F7436"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$13,747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357FED4F" w14:textId="254C8627"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$13,747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07BFCB7D" w14:textId="68D1193B"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$13,747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63EE4171" w14:textId="42DB6615" w:rsidR="00B87AEF" w:rsidRPr="00C82289" w:rsidRDefault="00B87AEF" w:rsidP="00B87A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DC23D6">
              <w:rPr>
                <w:rFonts w:ascii="Arial" w:hAnsi="Arial" w:cs="Arial"/>
                <w:color w:val="000000"/>
                <w:sz w:val="15"/>
                <w:szCs w:val="15"/>
              </w:rPr>
              <w:t xml:space="preserve">$13,747 </w:t>
            </w:r>
          </w:p>
        </w:tc>
      </w:tr>
      <w:tr w:rsidR="00B87AEF" w:rsidRPr="00C82289" w14:paraId="506DF4B4" w14:textId="77777777">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12" w:space="0" w:color="68CEF2" w:themeColor="accent2"/>
            </w:tcBorders>
            <w:noWrap/>
            <w:hideMark/>
          </w:tcPr>
          <w:p w14:paraId="3CDE2091" w14:textId="77777777" w:rsidR="00B87AEF" w:rsidRPr="0049240E" w:rsidRDefault="00B87AEF" w:rsidP="00B87AEF">
            <w:pPr>
              <w:rPr>
                <w:sz w:val="15"/>
                <w:szCs w:val="15"/>
              </w:rPr>
            </w:pPr>
            <w:r w:rsidRPr="0049240E">
              <w:rPr>
                <w:sz w:val="15"/>
                <w:szCs w:val="15"/>
              </w:rPr>
              <w:t>Total standard cost</w:t>
            </w:r>
          </w:p>
        </w:tc>
        <w:tc>
          <w:tcPr>
            <w:tcW w:w="874" w:type="dxa"/>
            <w:tcBorders>
              <w:top w:val="single" w:sz="6" w:space="0" w:color="BFBFBF" w:themeColor="background1" w:themeShade="BF"/>
              <w:bottom w:val="single" w:sz="12" w:space="0" w:color="68CEF2" w:themeColor="accent2"/>
            </w:tcBorders>
            <w:noWrap/>
            <w:vAlign w:val="center"/>
          </w:tcPr>
          <w:p w14:paraId="30943DF5" w14:textId="0757E836"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$96,807 </w:t>
            </w:r>
          </w:p>
        </w:tc>
        <w:tc>
          <w:tcPr>
            <w:tcW w:w="875" w:type="dxa"/>
            <w:tcBorders>
              <w:top w:val="single" w:sz="6" w:space="0" w:color="BFBFBF" w:themeColor="background1" w:themeShade="BF"/>
              <w:bottom w:val="single" w:sz="12" w:space="0" w:color="68CEF2" w:themeColor="accent2"/>
            </w:tcBorders>
            <w:noWrap/>
            <w:vAlign w:val="center"/>
          </w:tcPr>
          <w:p w14:paraId="4219AD55" w14:textId="6566535E"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$119,405 </w:t>
            </w:r>
          </w:p>
        </w:tc>
        <w:tc>
          <w:tcPr>
            <w:tcW w:w="874" w:type="dxa"/>
            <w:tcBorders>
              <w:top w:val="single" w:sz="6" w:space="0" w:color="BFBFBF" w:themeColor="background1" w:themeShade="BF"/>
              <w:bottom w:val="single" w:sz="12" w:space="0" w:color="68CEF2" w:themeColor="accent2"/>
            </w:tcBorders>
            <w:noWrap/>
            <w:vAlign w:val="center"/>
          </w:tcPr>
          <w:p w14:paraId="6E1B5ABC" w14:textId="777AEACC"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$139,851 </w:t>
            </w:r>
          </w:p>
        </w:tc>
        <w:tc>
          <w:tcPr>
            <w:tcW w:w="875" w:type="dxa"/>
            <w:tcBorders>
              <w:top w:val="single" w:sz="6" w:space="0" w:color="BFBFBF" w:themeColor="background1" w:themeShade="BF"/>
              <w:bottom w:val="single" w:sz="12" w:space="0" w:color="68CEF2" w:themeColor="accent2"/>
            </w:tcBorders>
            <w:noWrap/>
            <w:vAlign w:val="center"/>
          </w:tcPr>
          <w:p w14:paraId="2A74DBBA" w14:textId="1FB9E8B7"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$164,199 </w:t>
            </w:r>
          </w:p>
        </w:tc>
        <w:tc>
          <w:tcPr>
            <w:tcW w:w="874" w:type="dxa"/>
            <w:tcBorders>
              <w:top w:val="single" w:sz="6" w:space="0" w:color="BFBFBF" w:themeColor="background1" w:themeShade="BF"/>
              <w:bottom w:val="single" w:sz="12" w:space="0" w:color="68CEF2" w:themeColor="accent2"/>
            </w:tcBorders>
            <w:noWrap/>
            <w:vAlign w:val="center"/>
          </w:tcPr>
          <w:p w14:paraId="601E4B1B" w14:textId="1E65FB87"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$208,569 </w:t>
            </w:r>
          </w:p>
        </w:tc>
        <w:tc>
          <w:tcPr>
            <w:tcW w:w="875" w:type="dxa"/>
            <w:tcBorders>
              <w:top w:val="single" w:sz="6" w:space="0" w:color="BFBFBF" w:themeColor="background1" w:themeShade="BF"/>
              <w:bottom w:val="single" w:sz="12" w:space="0" w:color="68CEF2" w:themeColor="accent2"/>
            </w:tcBorders>
            <w:noWrap/>
            <w:vAlign w:val="center"/>
          </w:tcPr>
          <w:p w14:paraId="0534312A" w14:textId="74202A9F"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$280,294 </w:t>
            </w:r>
          </w:p>
        </w:tc>
        <w:tc>
          <w:tcPr>
            <w:tcW w:w="874" w:type="dxa"/>
            <w:tcBorders>
              <w:top w:val="single" w:sz="6" w:space="0" w:color="BFBFBF" w:themeColor="background1" w:themeShade="BF"/>
              <w:bottom w:val="single" w:sz="12" w:space="0" w:color="68CEF2" w:themeColor="accent2"/>
            </w:tcBorders>
            <w:noWrap/>
            <w:vAlign w:val="center"/>
          </w:tcPr>
          <w:p w14:paraId="3E4ED061" w14:textId="131F39EF"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$297,626 </w:t>
            </w:r>
          </w:p>
        </w:tc>
        <w:tc>
          <w:tcPr>
            <w:tcW w:w="875" w:type="dxa"/>
            <w:tcBorders>
              <w:top w:val="single" w:sz="6" w:space="0" w:color="BFBFBF" w:themeColor="background1" w:themeShade="BF"/>
              <w:bottom w:val="single" w:sz="12" w:space="0" w:color="68CEF2" w:themeColor="accent2"/>
            </w:tcBorders>
            <w:noWrap/>
            <w:vAlign w:val="center"/>
          </w:tcPr>
          <w:p w14:paraId="709CF4F3" w14:textId="189A25CC" w:rsidR="00B87AEF" w:rsidRPr="00C82289" w:rsidRDefault="00B87AEF" w:rsidP="00B87AE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$404,440 </w:t>
            </w:r>
          </w:p>
        </w:tc>
      </w:tr>
    </w:tbl>
    <w:p w14:paraId="32AD4C07" w14:textId="77777777" w:rsidR="008A2230" w:rsidRDefault="008A2230" w:rsidP="008A2230">
      <w:pPr>
        <w:pStyle w:val="Note"/>
      </w:pPr>
      <w:r>
        <w:t>Note:</w:t>
      </w:r>
    </w:p>
    <w:p w14:paraId="3D4A7259" w14:textId="77777777" w:rsidR="008A2230" w:rsidRDefault="008A2230" w:rsidP="008A2230">
      <w:pPr>
        <w:pStyle w:val="Note"/>
      </w:pPr>
      <w:r w:rsidRPr="00610F1F">
        <w:t>(a</w:t>
      </w:r>
      <w:r>
        <w:t>)</w:t>
      </w:r>
      <w:r>
        <w:tab/>
        <w:t xml:space="preserve">The mid salary </w:t>
      </w:r>
      <w:proofErr w:type="gramStart"/>
      <w:r>
        <w:t>point</w:t>
      </w:r>
      <w:proofErr w:type="gramEnd"/>
      <w:r>
        <w:t xml:space="preserve"> of salaries at 1 July 2024, per the 2024 VPS EBA.</w:t>
      </w:r>
    </w:p>
    <w:p w14:paraId="43184FEE" w14:textId="35920584" w:rsidR="003911A1" w:rsidRDefault="003911A1" w:rsidP="003911A1">
      <w:pPr>
        <w:pStyle w:val="Note"/>
      </w:pPr>
    </w:p>
    <w:p w14:paraId="16BF4025" w14:textId="77777777" w:rsidR="003911A1" w:rsidRDefault="003911A1" w:rsidP="003911A1">
      <w:pPr>
        <w:pStyle w:val="Note"/>
        <w:ind w:left="0" w:firstLine="0"/>
      </w:pPr>
    </w:p>
    <w:tbl>
      <w:tblPr>
        <w:tblStyle w:val="DTFfinancialtable"/>
        <w:tblW w:w="5000" w:type="pct"/>
        <w:tblLayout w:type="fixed"/>
        <w:tblLook w:val="04A0" w:firstRow="1" w:lastRow="0" w:firstColumn="1" w:lastColumn="0" w:noHBand="0" w:noVBand="1"/>
      </w:tblPr>
      <w:tblGrid>
        <w:gridCol w:w="2044"/>
        <w:gridCol w:w="872"/>
        <w:gridCol w:w="873"/>
        <w:gridCol w:w="873"/>
        <w:gridCol w:w="873"/>
        <w:gridCol w:w="872"/>
        <w:gridCol w:w="873"/>
        <w:gridCol w:w="873"/>
        <w:gridCol w:w="873"/>
      </w:tblGrid>
      <w:tr w:rsidR="003911A1" w:rsidRPr="008E3944" w14:paraId="75B2A06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420C8762" w14:textId="1926F284" w:rsidR="003911A1" w:rsidRPr="008E3944" w:rsidRDefault="003911A1">
            <w:r>
              <w:br w:type="page"/>
            </w:r>
            <w:r w:rsidRPr="008E3944">
              <w:t xml:space="preserve">VPS staff </w:t>
            </w:r>
            <w:r>
              <w:t>–</w:t>
            </w:r>
            <w:r w:rsidRPr="008E3944">
              <w:t xml:space="preserve"> Commencing in </w:t>
            </w:r>
            <w:r w:rsidR="00E01741" w:rsidRPr="008E3944">
              <w:t>202</w:t>
            </w:r>
            <w:r w:rsidR="00E01741">
              <w:t>5</w:t>
            </w:r>
            <w:r w:rsidR="00E01741" w:rsidRPr="008E3944">
              <w:t>-2</w:t>
            </w:r>
            <w:r w:rsidR="00E01741">
              <w:t>6</w:t>
            </w:r>
            <w:r w:rsidR="00E01741" w:rsidRPr="008E3944" w:rsidDel="00E01741">
              <w:t xml:space="preserve"> </w:t>
            </w:r>
            <w:r w:rsidRPr="009E6BD4">
              <w:rPr>
                <w:vertAlign w:val="superscript"/>
              </w:rPr>
              <w:t>(a)</w:t>
            </w:r>
            <w:r>
              <w:rPr>
                <w:vertAlign w:val="superscript"/>
              </w:rPr>
              <w:t>(b)</w:t>
            </w:r>
          </w:p>
        </w:tc>
      </w:tr>
      <w:tr w:rsidR="003911A1" w:rsidRPr="008E3944" w14:paraId="4420EBA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44" w:type="dxa"/>
            <w:noWrap/>
            <w:hideMark/>
          </w:tcPr>
          <w:p w14:paraId="60C17007" w14:textId="77777777" w:rsidR="003911A1" w:rsidRPr="008E3944" w:rsidRDefault="003911A1">
            <w:r w:rsidRPr="008E3944">
              <w:t> </w:t>
            </w:r>
          </w:p>
        </w:tc>
        <w:tc>
          <w:tcPr>
            <w:tcW w:w="872" w:type="dxa"/>
            <w:noWrap/>
            <w:hideMark/>
          </w:tcPr>
          <w:p w14:paraId="77F3B540"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2</w:t>
            </w:r>
          </w:p>
        </w:tc>
        <w:tc>
          <w:tcPr>
            <w:tcW w:w="873" w:type="dxa"/>
            <w:noWrap/>
            <w:hideMark/>
          </w:tcPr>
          <w:p w14:paraId="5B7D49FD"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3</w:t>
            </w:r>
          </w:p>
        </w:tc>
        <w:tc>
          <w:tcPr>
            <w:tcW w:w="873" w:type="dxa"/>
            <w:noWrap/>
            <w:hideMark/>
          </w:tcPr>
          <w:p w14:paraId="708C64EB"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4</w:t>
            </w:r>
          </w:p>
        </w:tc>
        <w:tc>
          <w:tcPr>
            <w:tcW w:w="873" w:type="dxa"/>
            <w:noWrap/>
            <w:hideMark/>
          </w:tcPr>
          <w:p w14:paraId="55088ECB"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5</w:t>
            </w:r>
          </w:p>
        </w:tc>
        <w:tc>
          <w:tcPr>
            <w:tcW w:w="872" w:type="dxa"/>
            <w:noWrap/>
            <w:hideMark/>
          </w:tcPr>
          <w:p w14:paraId="445AF2AA"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6</w:t>
            </w:r>
          </w:p>
        </w:tc>
        <w:tc>
          <w:tcPr>
            <w:tcW w:w="873" w:type="dxa"/>
            <w:noWrap/>
            <w:hideMark/>
          </w:tcPr>
          <w:p w14:paraId="701C3354"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STS</w:t>
            </w:r>
          </w:p>
        </w:tc>
        <w:tc>
          <w:tcPr>
            <w:tcW w:w="873" w:type="dxa"/>
            <w:noWrap/>
            <w:hideMark/>
          </w:tcPr>
          <w:p w14:paraId="04EA19FA"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73" w:type="dxa"/>
            <w:noWrap/>
            <w:hideMark/>
          </w:tcPr>
          <w:p w14:paraId="23F3340F"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SES-2</w:t>
            </w:r>
          </w:p>
        </w:tc>
      </w:tr>
      <w:tr w:rsidR="00C42849" w:rsidRPr="008C0C14" w14:paraId="6C65B7BE" w14:textId="77777777">
        <w:tc>
          <w:tcPr>
            <w:cnfStyle w:val="001000000000" w:firstRow="0" w:lastRow="0" w:firstColumn="1" w:lastColumn="0" w:oddVBand="0" w:evenVBand="0" w:oddHBand="0" w:evenHBand="0" w:firstRowFirstColumn="0" w:firstRowLastColumn="0" w:lastRowFirstColumn="0" w:lastRowLastColumn="0"/>
            <w:tcW w:w="2044" w:type="dxa"/>
            <w:tcBorders>
              <w:bottom w:val="single" w:sz="6" w:space="0" w:color="BFBFBF" w:themeColor="background1" w:themeShade="BF"/>
            </w:tcBorders>
            <w:noWrap/>
            <w:hideMark/>
          </w:tcPr>
          <w:p w14:paraId="3DFE4FF2" w14:textId="4CD70597" w:rsidR="00C42849" w:rsidRPr="0049240E" w:rsidRDefault="00C42849" w:rsidP="00C42849">
            <w:pPr>
              <w:rPr>
                <w:sz w:val="15"/>
                <w:szCs w:val="15"/>
              </w:rPr>
            </w:pPr>
            <w:r w:rsidRPr="0049240E">
              <w:rPr>
                <w:sz w:val="15"/>
                <w:szCs w:val="15"/>
              </w:rPr>
              <w:t>202</w:t>
            </w:r>
            <w:r>
              <w:rPr>
                <w:sz w:val="15"/>
                <w:szCs w:val="15"/>
              </w:rPr>
              <w:t>5</w:t>
            </w:r>
            <w:r w:rsidRPr="0049240E">
              <w:rPr>
                <w:sz w:val="15"/>
                <w:szCs w:val="15"/>
              </w:rPr>
              <w:t>-2</w:t>
            </w:r>
            <w:r>
              <w:rPr>
                <w:sz w:val="15"/>
                <w:szCs w:val="15"/>
              </w:rPr>
              <w:t>6</w:t>
            </w:r>
            <w:r w:rsidRPr="0049240E">
              <w:rPr>
                <w:sz w:val="15"/>
                <w:szCs w:val="15"/>
              </w:rPr>
              <w:t xml:space="preserve"> mid salary point</w:t>
            </w:r>
          </w:p>
        </w:tc>
        <w:tc>
          <w:tcPr>
            <w:tcW w:w="872" w:type="dxa"/>
            <w:tcBorders>
              <w:bottom w:val="single" w:sz="6" w:space="0" w:color="BFBFBF" w:themeColor="background1" w:themeShade="BF"/>
            </w:tcBorders>
            <w:noWrap/>
            <w:vAlign w:val="center"/>
            <w:hideMark/>
          </w:tcPr>
          <w:p w14:paraId="604DD9AB" w14:textId="17995BBF"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$68,863 </w:t>
            </w:r>
          </w:p>
        </w:tc>
        <w:tc>
          <w:tcPr>
            <w:tcW w:w="873" w:type="dxa"/>
            <w:tcBorders>
              <w:bottom w:val="single" w:sz="6" w:space="0" w:color="BFBFBF" w:themeColor="background1" w:themeShade="BF"/>
            </w:tcBorders>
            <w:noWrap/>
            <w:vAlign w:val="center"/>
            <w:hideMark/>
          </w:tcPr>
          <w:p w14:paraId="25A45E66" w14:textId="764D39C1"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$87,598 </w:t>
            </w:r>
          </w:p>
        </w:tc>
        <w:tc>
          <w:tcPr>
            <w:tcW w:w="873" w:type="dxa"/>
            <w:tcBorders>
              <w:bottom w:val="single" w:sz="6" w:space="0" w:color="BFBFBF" w:themeColor="background1" w:themeShade="BF"/>
            </w:tcBorders>
            <w:noWrap/>
            <w:vAlign w:val="center"/>
            <w:hideMark/>
          </w:tcPr>
          <w:p w14:paraId="2DC62A66" w14:textId="5BBA3EB9"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$104,549 </w:t>
            </w:r>
          </w:p>
        </w:tc>
        <w:tc>
          <w:tcPr>
            <w:tcW w:w="873" w:type="dxa"/>
            <w:tcBorders>
              <w:bottom w:val="single" w:sz="6" w:space="0" w:color="BFBFBF" w:themeColor="background1" w:themeShade="BF"/>
            </w:tcBorders>
            <w:noWrap/>
            <w:vAlign w:val="center"/>
            <w:hideMark/>
          </w:tcPr>
          <w:p w14:paraId="26555F80" w14:textId="70B3E156"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$124,885 </w:t>
            </w:r>
          </w:p>
        </w:tc>
        <w:tc>
          <w:tcPr>
            <w:tcW w:w="872" w:type="dxa"/>
            <w:tcBorders>
              <w:bottom w:val="single" w:sz="6" w:space="0" w:color="BFBFBF" w:themeColor="background1" w:themeShade="BF"/>
            </w:tcBorders>
            <w:noWrap/>
            <w:vAlign w:val="center"/>
            <w:hideMark/>
          </w:tcPr>
          <w:p w14:paraId="343D802D" w14:textId="66620EDF"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$162,075 </w:t>
            </w:r>
          </w:p>
        </w:tc>
        <w:tc>
          <w:tcPr>
            <w:tcW w:w="873" w:type="dxa"/>
            <w:tcBorders>
              <w:bottom w:val="single" w:sz="6" w:space="0" w:color="BFBFBF" w:themeColor="background1" w:themeShade="BF"/>
            </w:tcBorders>
            <w:noWrap/>
            <w:vAlign w:val="center"/>
            <w:hideMark/>
          </w:tcPr>
          <w:p w14:paraId="366B0D8C" w14:textId="7A070B34"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$222,193 </w:t>
            </w:r>
          </w:p>
        </w:tc>
        <w:tc>
          <w:tcPr>
            <w:tcW w:w="873" w:type="dxa"/>
            <w:tcBorders>
              <w:bottom w:val="single" w:sz="6" w:space="0" w:color="BFBFBF" w:themeColor="background1" w:themeShade="BF"/>
            </w:tcBorders>
            <w:noWrap/>
            <w:vAlign w:val="center"/>
            <w:hideMark/>
          </w:tcPr>
          <w:p w14:paraId="43F38D79" w14:textId="569A06F4"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$238,147 </w:t>
            </w:r>
          </w:p>
        </w:tc>
        <w:tc>
          <w:tcPr>
            <w:tcW w:w="873" w:type="dxa"/>
            <w:tcBorders>
              <w:bottom w:val="single" w:sz="6" w:space="0" w:color="BFBFBF" w:themeColor="background1" w:themeShade="BF"/>
            </w:tcBorders>
            <w:noWrap/>
            <w:vAlign w:val="center"/>
            <w:hideMark/>
          </w:tcPr>
          <w:p w14:paraId="71873E16" w14:textId="638CA196"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$327,753 </w:t>
            </w:r>
          </w:p>
        </w:tc>
      </w:tr>
      <w:tr w:rsidR="00C42849" w:rsidRPr="008C0C14" w14:paraId="56E2D1E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1546E7A4" w14:textId="77777777" w:rsidR="00C42849" w:rsidRPr="0049240E" w:rsidRDefault="00C42849" w:rsidP="00C42849">
            <w:pPr>
              <w:rPr>
                <w:sz w:val="15"/>
                <w:szCs w:val="15"/>
              </w:rPr>
            </w:pPr>
            <w:r w:rsidRPr="00184DA0">
              <w:rPr>
                <w:sz w:val="15"/>
                <w:szCs w:val="15"/>
              </w:rPr>
              <w:t xml:space="preserve">Mobility payment </w:t>
            </w:r>
          </w:p>
        </w:tc>
        <w:tc>
          <w:tcPr>
            <w:tcW w:w="872" w:type="dxa"/>
            <w:tcBorders>
              <w:top w:val="single" w:sz="6" w:space="0" w:color="BFBFBF" w:themeColor="background1" w:themeShade="BF"/>
              <w:bottom w:val="single" w:sz="6" w:space="0" w:color="BFBFBF" w:themeColor="background1" w:themeShade="BF"/>
            </w:tcBorders>
            <w:noWrap/>
            <w:vAlign w:val="center"/>
          </w:tcPr>
          <w:p w14:paraId="5C313C8B" w14:textId="50367CF7"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$915 </w:t>
            </w:r>
          </w:p>
        </w:tc>
        <w:tc>
          <w:tcPr>
            <w:tcW w:w="873" w:type="dxa"/>
            <w:tcBorders>
              <w:top w:val="single" w:sz="6" w:space="0" w:color="BFBFBF" w:themeColor="background1" w:themeShade="BF"/>
              <w:bottom w:val="single" w:sz="6" w:space="0" w:color="BFBFBF" w:themeColor="background1" w:themeShade="BF"/>
            </w:tcBorders>
            <w:noWrap/>
            <w:vAlign w:val="center"/>
          </w:tcPr>
          <w:p w14:paraId="67EC82A6" w14:textId="7226F13E"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$1,148 </w:t>
            </w:r>
          </w:p>
        </w:tc>
        <w:tc>
          <w:tcPr>
            <w:tcW w:w="873" w:type="dxa"/>
            <w:tcBorders>
              <w:top w:val="single" w:sz="6" w:space="0" w:color="BFBFBF" w:themeColor="background1" w:themeShade="BF"/>
              <w:bottom w:val="single" w:sz="6" w:space="0" w:color="BFBFBF" w:themeColor="background1" w:themeShade="BF"/>
            </w:tcBorders>
            <w:noWrap/>
            <w:vAlign w:val="center"/>
          </w:tcPr>
          <w:p w14:paraId="775D188E" w14:textId="71E3A218"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$1,389 </w:t>
            </w:r>
          </w:p>
        </w:tc>
        <w:tc>
          <w:tcPr>
            <w:tcW w:w="873" w:type="dxa"/>
            <w:tcBorders>
              <w:top w:val="single" w:sz="6" w:space="0" w:color="BFBFBF" w:themeColor="background1" w:themeShade="BF"/>
              <w:bottom w:val="single" w:sz="6" w:space="0" w:color="BFBFBF" w:themeColor="background1" w:themeShade="BF"/>
            </w:tcBorders>
            <w:noWrap/>
            <w:vAlign w:val="center"/>
          </w:tcPr>
          <w:p w14:paraId="49840243" w14:textId="78943DDB"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$1,635 </w:t>
            </w:r>
          </w:p>
        </w:tc>
        <w:tc>
          <w:tcPr>
            <w:tcW w:w="872" w:type="dxa"/>
            <w:tcBorders>
              <w:top w:val="single" w:sz="6" w:space="0" w:color="BFBFBF" w:themeColor="background1" w:themeShade="BF"/>
              <w:bottom w:val="single" w:sz="6" w:space="0" w:color="BFBFBF" w:themeColor="background1" w:themeShade="BF"/>
            </w:tcBorders>
            <w:noWrap/>
            <w:vAlign w:val="center"/>
          </w:tcPr>
          <w:p w14:paraId="685795C9" w14:textId="65AE83BD"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$2,173 </w:t>
            </w:r>
          </w:p>
        </w:tc>
        <w:tc>
          <w:tcPr>
            <w:tcW w:w="873" w:type="dxa"/>
            <w:tcBorders>
              <w:top w:val="single" w:sz="6" w:space="0" w:color="BFBFBF" w:themeColor="background1" w:themeShade="BF"/>
              <w:bottom w:val="single" w:sz="6" w:space="0" w:color="BFBFBF" w:themeColor="background1" w:themeShade="BF"/>
            </w:tcBorders>
            <w:noWrap/>
            <w:vAlign w:val="center"/>
          </w:tcPr>
          <w:p w14:paraId="031A2ADF" w14:textId="5F285FFF"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$2,919 </w:t>
            </w:r>
          </w:p>
        </w:tc>
        <w:tc>
          <w:tcPr>
            <w:tcW w:w="873" w:type="dxa"/>
            <w:tcBorders>
              <w:top w:val="single" w:sz="6" w:space="0" w:color="BFBFBF" w:themeColor="background1" w:themeShade="BF"/>
              <w:bottom w:val="single" w:sz="6" w:space="0" w:color="BFBFBF" w:themeColor="background1" w:themeShade="BF"/>
            </w:tcBorders>
            <w:noWrap/>
            <w:vAlign w:val="center"/>
          </w:tcPr>
          <w:p w14:paraId="1DEB613D" w14:textId="253AE4B8"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$0 </w:t>
            </w:r>
          </w:p>
        </w:tc>
        <w:tc>
          <w:tcPr>
            <w:tcW w:w="873" w:type="dxa"/>
            <w:tcBorders>
              <w:top w:val="single" w:sz="6" w:space="0" w:color="BFBFBF" w:themeColor="background1" w:themeShade="BF"/>
              <w:bottom w:val="single" w:sz="6" w:space="0" w:color="BFBFBF" w:themeColor="background1" w:themeShade="BF"/>
            </w:tcBorders>
            <w:noWrap/>
            <w:vAlign w:val="center"/>
          </w:tcPr>
          <w:p w14:paraId="69FE2BCA" w14:textId="62E9132C"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$0 </w:t>
            </w:r>
          </w:p>
        </w:tc>
      </w:tr>
      <w:tr w:rsidR="00C42849" w:rsidRPr="008C0C14" w14:paraId="30CBDBE8"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569C605D" w14:textId="77777777" w:rsidR="00C42849" w:rsidRPr="0049240E" w:rsidRDefault="00C42849" w:rsidP="00C42849">
            <w:pPr>
              <w:rPr>
                <w:sz w:val="15"/>
                <w:szCs w:val="15"/>
              </w:rPr>
            </w:pPr>
            <w:r w:rsidRPr="00184DA0">
              <w:rPr>
                <w:sz w:val="15"/>
                <w:szCs w:val="15"/>
              </w:rPr>
              <w:t>Superannuation</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4829C5DF" w14:textId="4BF8D376"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$8,373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598E00B" w14:textId="49AE9990"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$10,649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4D7CC47" w14:textId="36A9AA78"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$12,713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5C4A82A" w14:textId="351DBAA3"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$15,182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14745470" w14:textId="21195578"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$19,710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DD805DB" w14:textId="5068FBF1"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$27,013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3659319" w14:textId="619B2E36"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$28,578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1AC91F8B" w14:textId="6FEA785C"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$39,330 </w:t>
            </w:r>
          </w:p>
        </w:tc>
      </w:tr>
      <w:tr w:rsidR="00C42849" w:rsidRPr="008C0C14" w14:paraId="6494A79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17C026E7" w14:textId="77777777" w:rsidR="00C42849" w:rsidRPr="0049240E" w:rsidRDefault="00C42849" w:rsidP="00C42849">
            <w:pPr>
              <w:rPr>
                <w:sz w:val="15"/>
                <w:szCs w:val="15"/>
              </w:rPr>
            </w:pPr>
            <w:r w:rsidRPr="00184DA0">
              <w:rPr>
                <w:sz w:val="15"/>
                <w:szCs w:val="15"/>
              </w:rPr>
              <w:t>Salary on-costs – Rate</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41A13AAB" w14:textId="63088BDB"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61548849" w14:textId="438E497E"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2FD5461" w14:textId="2C388E50"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B9ACA61" w14:textId="146F906D"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12.63%</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0C52CD7A" w14:textId="3FF1F7BE"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12.35%</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FA16A74" w14:textId="66DBAD78"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12.10%</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E7DD9A1" w14:textId="0E3CCF38"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11.32%</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D12C822" w14:textId="259EFF46"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11.32%</w:t>
            </w:r>
          </w:p>
        </w:tc>
      </w:tr>
      <w:tr w:rsidR="00C42849" w:rsidRPr="008C0C14" w14:paraId="1738B1ED"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35EEA453" w14:textId="77777777" w:rsidR="00C42849" w:rsidRPr="0049240E" w:rsidRDefault="00C42849" w:rsidP="00C42849">
            <w:pPr>
              <w:rPr>
                <w:sz w:val="15"/>
                <w:szCs w:val="15"/>
              </w:rPr>
            </w:pPr>
            <w:r w:rsidRPr="00184DA0">
              <w:rPr>
                <w:sz w:val="15"/>
                <w:szCs w:val="15"/>
              </w:rPr>
              <w:t>Mobility on-cost – Rate</w:t>
            </w:r>
          </w:p>
        </w:tc>
        <w:tc>
          <w:tcPr>
            <w:tcW w:w="872" w:type="dxa"/>
            <w:tcBorders>
              <w:top w:val="single" w:sz="6" w:space="0" w:color="BFBFBF" w:themeColor="background1" w:themeShade="BF"/>
              <w:bottom w:val="single" w:sz="6" w:space="0" w:color="BFBFBF" w:themeColor="background1" w:themeShade="BF"/>
            </w:tcBorders>
            <w:noWrap/>
            <w:vAlign w:val="center"/>
          </w:tcPr>
          <w:p w14:paraId="1F22D4C7" w14:textId="086ACFA1"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16499ADB" w14:textId="23DD1E9E"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20C67EC1" w14:textId="5E8E11DE"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79F9789E" w14:textId="7E5DFB8A"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2" w:type="dxa"/>
            <w:tcBorders>
              <w:top w:val="single" w:sz="6" w:space="0" w:color="BFBFBF" w:themeColor="background1" w:themeShade="BF"/>
              <w:bottom w:val="single" w:sz="6" w:space="0" w:color="BFBFBF" w:themeColor="background1" w:themeShade="BF"/>
            </w:tcBorders>
            <w:noWrap/>
            <w:vAlign w:val="center"/>
          </w:tcPr>
          <w:p w14:paraId="729542AD" w14:textId="051B3030"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632BDBA9" w14:textId="2D4FD167"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2496C321" w14:textId="263FEF97"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0.00%</w:t>
            </w:r>
          </w:p>
        </w:tc>
        <w:tc>
          <w:tcPr>
            <w:tcW w:w="873" w:type="dxa"/>
            <w:tcBorders>
              <w:top w:val="single" w:sz="6" w:space="0" w:color="BFBFBF" w:themeColor="background1" w:themeShade="BF"/>
              <w:bottom w:val="single" w:sz="6" w:space="0" w:color="BFBFBF" w:themeColor="background1" w:themeShade="BF"/>
            </w:tcBorders>
            <w:noWrap/>
            <w:vAlign w:val="center"/>
          </w:tcPr>
          <w:p w14:paraId="46C88F92" w14:textId="4E558C5D"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0.00%</w:t>
            </w:r>
          </w:p>
        </w:tc>
      </w:tr>
      <w:tr w:rsidR="00C42849" w:rsidRPr="008C0C14" w14:paraId="6DA9730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750E9B6C" w14:textId="77777777" w:rsidR="00C42849" w:rsidRPr="0049240E" w:rsidRDefault="00C42849" w:rsidP="00C42849">
            <w:pPr>
              <w:rPr>
                <w:sz w:val="15"/>
                <w:szCs w:val="15"/>
              </w:rPr>
            </w:pPr>
            <w:r w:rsidRPr="00184DA0">
              <w:rPr>
                <w:sz w:val="15"/>
                <w:szCs w:val="15"/>
              </w:rPr>
              <w:t>On-costs –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4C6D85A1" w14:textId="1C86FDA8"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$8,869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20AC5405" w14:textId="36355115"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$11,281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E201830" w14:textId="66DBCE1A"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$13,466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04CB126" w14:textId="105BF392"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$15,897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1934ABC4" w14:textId="7981B1B5"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$20,189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14AE3115" w14:textId="14E11FD0"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$27,116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99DC148" w14:textId="4D4EFDE7"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$26,956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40CE492" w14:textId="712008D7"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$37,098 </w:t>
            </w:r>
          </w:p>
        </w:tc>
      </w:tr>
      <w:tr w:rsidR="00C42849" w:rsidRPr="008C0C14" w14:paraId="02D657EA"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18ADCF86" w14:textId="77777777" w:rsidR="00C42849" w:rsidRPr="0049240E" w:rsidRDefault="00C42849" w:rsidP="00C42849">
            <w:pPr>
              <w:rPr>
                <w:sz w:val="15"/>
                <w:szCs w:val="15"/>
              </w:rPr>
            </w:pPr>
            <w:r w:rsidRPr="00184DA0">
              <w:rPr>
                <w:sz w:val="15"/>
                <w:szCs w:val="15"/>
              </w:rPr>
              <w:t>Operating costs</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5EFEF95B" w14:textId="25DE1F8A"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6B1024E" w14:textId="02194DE8"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FB259E7" w14:textId="1BACDA9B"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82FDE96" w14:textId="56269200"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$13,747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5F7B2171" w14:textId="458329EF"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11BEDD1F" w14:textId="7860D704"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6235A568" w14:textId="31DB3F8C"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F177AFF" w14:textId="53C71A72" w:rsidR="00C42849" w:rsidRPr="008C0C14" w:rsidRDefault="00C42849" w:rsidP="00C4284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E2707C">
              <w:rPr>
                <w:rFonts w:ascii="Arial" w:hAnsi="Arial" w:cs="Arial"/>
                <w:color w:val="000000"/>
                <w:sz w:val="15"/>
                <w:szCs w:val="15"/>
              </w:rPr>
              <w:t xml:space="preserve">$13,747 </w:t>
            </w:r>
          </w:p>
        </w:tc>
      </w:tr>
      <w:tr w:rsidR="00C42849" w:rsidRPr="008C0C14" w14:paraId="2F8A866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12" w:space="0" w:color="68CEF2" w:themeColor="accent2"/>
            </w:tcBorders>
            <w:noWrap/>
            <w:hideMark/>
          </w:tcPr>
          <w:p w14:paraId="73F76639" w14:textId="77777777" w:rsidR="00C42849" w:rsidRPr="0049240E" w:rsidRDefault="00C42849" w:rsidP="00C42849">
            <w:pPr>
              <w:rPr>
                <w:sz w:val="15"/>
                <w:szCs w:val="15"/>
              </w:rPr>
            </w:pPr>
            <w:r w:rsidRPr="0049240E">
              <w:rPr>
                <w:sz w:val="15"/>
                <w:szCs w:val="15"/>
              </w:rPr>
              <w:t>Total standard cost</w:t>
            </w:r>
          </w:p>
        </w:tc>
        <w:tc>
          <w:tcPr>
            <w:tcW w:w="872" w:type="dxa"/>
            <w:tcBorders>
              <w:top w:val="single" w:sz="6" w:space="0" w:color="BFBFBF" w:themeColor="background1" w:themeShade="BF"/>
              <w:bottom w:val="single" w:sz="12" w:space="0" w:color="68CEF2" w:themeColor="accent2"/>
            </w:tcBorders>
            <w:noWrap/>
            <w:vAlign w:val="center"/>
            <w:hideMark/>
          </w:tcPr>
          <w:p w14:paraId="75199E14" w14:textId="095CEEB2" w:rsidR="00C42849" w:rsidRPr="00017611"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$100,767 </w:t>
            </w:r>
          </w:p>
        </w:tc>
        <w:tc>
          <w:tcPr>
            <w:tcW w:w="873" w:type="dxa"/>
            <w:tcBorders>
              <w:top w:val="single" w:sz="6" w:space="0" w:color="BFBFBF" w:themeColor="background1" w:themeShade="BF"/>
              <w:bottom w:val="single" w:sz="12" w:space="0" w:color="68CEF2" w:themeColor="accent2"/>
            </w:tcBorders>
            <w:noWrap/>
            <w:vAlign w:val="center"/>
            <w:hideMark/>
          </w:tcPr>
          <w:p w14:paraId="72D26278" w14:textId="619A9646" w:rsidR="00C42849" w:rsidRPr="00017611"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$124,423 </w:t>
            </w:r>
          </w:p>
        </w:tc>
        <w:tc>
          <w:tcPr>
            <w:tcW w:w="873" w:type="dxa"/>
            <w:tcBorders>
              <w:top w:val="single" w:sz="6" w:space="0" w:color="BFBFBF" w:themeColor="background1" w:themeShade="BF"/>
              <w:bottom w:val="single" w:sz="12" w:space="0" w:color="68CEF2" w:themeColor="accent2"/>
            </w:tcBorders>
            <w:noWrap/>
            <w:vAlign w:val="center"/>
            <w:hideMark/>
          </w:tcPr>
          <w:p w14:paraId="0C188384" w14:textId="409E946F" w:rsidR="00C42849" w:rsidRPr="00017611"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$145,863 </w:t>
            </w:r>
          </w:p>
        </w:tc>
        <w:tc>
          <w:tcPr>
            <w:tcW w:w="873" w:type="dxa"/>
            <w:tcBorders>
              <w:top w:val="single" w:sz="6" w:space="0" w:color="BFBFBF" w:themeColor="background1" w:themeShade="BF"/>
              <w:bottom w:val="single" w:sz="12" w:space="0" w:color="68CEF2" w:themeColor="accent2"/>
            </w:tcBorders>
            <w:noWrap/>
            <w:vAlign w:val="center"/>
            <w:hideMark/>
          </w:tcPr>
          <w:p w14:paraId="237A246A" w14:textId="2045C761" w:rsidR="00C42849" w:rsidRPr="00017611"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$171,346 </w:t>
            </w:r>
          </w:p>
        </w:tc>
        <w:tc>
          <w:tcPr>
            <w:tcW w:w="872" w:type="dxa"/>
            <w:tcBorders>
              <w:top w:val="single" w:sz="6" w:space="0" w:color="BFBFBF" w:themeColor="background1" w:themeShade="BF"/>
              <w:bottom w:val="single" w:sz="12" w:space="0" w:color="68CEF2" w:themeColor="accent2"/>
            </w:tcBorders>
            <w:noWrap/>
            <w:vAlign w:val="center"/>
            <w:hideMark/>
          </w:tcPr>
          <w:p w14:paraId="1FD3B899" w14:textId="5783EDF1" w:rsidR="00C42849" w:rsidRPr="00017611"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$217,892 </w:t>
            </w:r>
          </w:p>
        </w:tc>
        <w:tc>
          <w:tcPr>
            <w:tcW w:w="873" w:type="dxa"/>
            <w:tcBorders>
              <w:top w:val="single" w:sz="6" w:space="0" w:color="BFBFBF" w:themeColor="background1" w:themeShade="BF"/>
              <w:bottom w:val="single" w:sz="12" w:space="0" w:color="68CEF2" w:themeColor="accent2"/>
            </w:tcBorders>
            <w:noWrap/>
            <w:vAlign w:val="center"/>
            <w:hideMark/>
          </w:tcPr>
          <w:p w14:paraId="185D8101" w14:textId="620870A9" w:rsidR="00C42849" w:rsidRPr="00017611"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$292,988 </w:t>
            </w:r>
          </w:p>
        </w:tc>
        <w:tc>
          <w:tcPr>
            <w:tcW w:w="873" w:type="dxa"/>
            <w:tcBorders>
              <w:top w:val="single" w:sz="6" w:space="0" w:color="BFBFBF" w:themeColor="background1" w:themeShade="BF"/>
              <w:bottom w:val="single" w:sz="12" w:space="0" w:color="68CEF2" w:themeColor="accent2"/>
            </w:tcBorders>
            <w:noWrap/>
            <w:vAlign w:val="center"/>
            <w:hideMark/>
          </w:tcPr>
          <w:p w14:paraId="562AB869" w14:textId="2149564D"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$307,427 </w:t>
            </w:r>
          </w:p>
        </w:tc>
        <w:tc>
          <w:tcPr>
            <w:tcW w:w="873" w:type="dxa"/>
            <w:tcBorders>
              <w:top w:val="single" w:sz="6" w:space="0" w:color="BFBFBF" w:themeColor="background1" w:themeShade="BF"/>
              <w:bottom w:val="single" w:sz="12" w:space="0" w:color="68CEF2" w:themeColor="accent2"/>
            </w:tcBorders>
            <w:noWrap/>
            <w:vAlign w:val="center"/>
            <w:hideMark/>
          </w:tcPr>
          <w:p w14:paraId="3FF18510" w14:textId="51BCAE60" w:rsidR="00C42849" w:rsidRPr="008C0C14" w:rsidRDefault="00C42849" w:rsidP="00C4284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$417,928 </w:t>
            </w:r>
          </w:p>
        </w:tc>
      </w:tr>
    </w:tbl>
    <w:p w14:paraId="1AF812D8" w14:textId="77777777" w:rsidR="00FE0BC9" w:rsidRDefault="00FE0BC9" w:rsidP="00FE0BC9">
      <w:pPr>
        <w:pStyle w:val="Note"/>
      </w:pPr>
      <w:r>
        <w:t>Note:</w:t>
      </w:r>
    </w:p>
    <w:p w14:paraId="39F7B51F" w14:textId="77777777" w:rsidR="00FE0BC9" w:rsidRDefault="00FE0BC9" w:rsidP="00FE0BC9">
      <w:pPr>
        <w:pStyle w:val="Note"/>
      </w:pPr>
      <w:r>
        <w:t>(a)</w:t>
      </w:r>
      <w:r>
        <w:tab/>
        <w:t xml:space="preserve">The mid salary </w:t>
      </w:r>
      <w:proofErr w:type="gramStart"/>
      <w:r>
        <w:t>point</w:t>
      </w:r>
      <w:proofErr w:type="gramEnd"/>
      <w:r>
        <w:t xml:space="preserve"> of salaries at 1 July 2025, per the 2024 VPS EBA</w:t>
      </w:r>
      <w:r w:rsidRPr="00EB549B">
        <w:t xml:space="preserve">. </w:t>
      </w:r>
    </w:p>
    <w:p w14:paraId="6EEC3921" w14:textId="77777777" w:rsidR="00FE0BC9" w:rsidRDefault="00FE0BC9" w:rsidP="00FE0BC9">
      <w:pPr>
        <w:pStyle w:val="Note"/>
      </w:pPr>
      <w:r>
        <w:t>(b)   The mobility payment rates as per 1 July 2025</w:t>
      </w:r>
      <w:bookmarkStart w:id="1" w:name="_Hlk175647893"/>
      <w:r>
        <w:t>, per the 2024 VPS EBA</w:t>
      </w:r>
      <w:r w:rsidRPr="00EB549B">
        <w:t xml:space="preserve">. </w:t>
      </w:r>
      <w:bookmarkEnd w:id="1"/>
    </w:p>
    <w:p w14:paraId="34F4567C" w14:textId="77777777" w:rsidR="003911A1" w:rsidRPr="009E6BD4" w:rsidRDefault="003911A1" w:rsidP="003911A1">
      <w:pPr>
        <w:pStyle w:val="Note"/>
        <w:ind w:left="0" w:firstLine="0"/>
      </w:pPr>
    </w:p>
    <w:tbl>
      <w:tblPr>
        <w:tblStyle w:val="DTFfinancialtable"/>
        <w:tblW w:w="5000" w:type="pct"/>
        <w:tblLayout w:type="fixed"/>
        <w:tblLook w:val="04A0" w:firstRow="1" w:lastRow="0" w:firstColumn="1" w:lastColumn="0" w:noHBand="0" w:noVBand="1"/>
      </w:tblPr>
      <w:tblGrid>
        <w:gridCol w:w="2044"/>
        <w:gridCol w:w="872"/>
        <w:gridCol w:w="873"/>
        <w:gridCol w:w="873"/>
        <w:gridCol w:w="873"/>
        <w:gridCol w:w="872"/>
        <w:gridCol w:w="873"/>
        <w:gridCol w:w="873"/>
        <w:gridCol w:w="873"/>
      </w:tblGrid>
      <w:tr w:rsidR="003911A1" w:rsidRPr="008E3944" w14:paraId="428B036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1CA6B56E" w14:textId="5A76B4D6" w:rsidR="003911A1" w:rsidRPr="00682215" w:rsidRDefault="003911A1">
            <w:r w:rsidRPr="00682215">
              <w:t xml:space="preserve">VPS staff – Commencing in </w:t>
            </w:r>
            <w:r w:rsidR="0084379B" w:rsidRPr="00682215">
              <w:t>202</w:t>
            </w:r>
            <w:r w:rsidR="0084379B">
              <w:t>6</w:t>
            </w:r>
            <w:r w:rsidR="0084379B" w:rsidRPr="00682215">
              <w:t>-2</w:t>
            </w:r>
            <w:r w:rsidR="0084379B">
              <w:t>7</w:t>
            </w:r>
            <w:r w:rsidR="0084379B" w:rsidRPr="00682215" w:rsidDel="0084379B">
              <w:t xml:space="preserve"> </w:t>
            </w:r>
            <w:r w:rsidRPr="00682215">
              <w:rPr>
                <w:vertAlign w:val="superscript"/>
              </w:rPr>
              <w:t>(a)</w:t>
            </w:r>
            <w:r>
              <w:rPr>
                <w:vertAlign w:val="superscript"/>
              </w:rPr>
              <w:t>(b)</w:t>
            </w:r>
          </w:p>
        </w:tc>
      </w:tr>
      <w:tr w:rsidR="003911A1" w:rsidRPr="008E3944" w14:paraId="1A192F5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44" w:type="dxa"/>
            <w:noWrap/>
            <w:hideMark/>
          </w:tcPr>
          <w:p w14:paraId="6A0E09A3" w14:textId="77777777" w:rsidR="003911A1" w:rsidRPr="00682215" w:rsidRDefault="003911A1">
            <w:r w:rsidRPr="00682215">
              <w:t> </w:t>
            </w:r>
          </w:p>
        </w:tc>
        <w:tc>
          <w:tcPr>
            <w:tcW w:w="872" w:type="dxa"/>
            <w:noWrap/>
            <w:hideMark/>
          </w:tcPr>
          <w:p w14:paraId="3794AB26"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2</w:t>
            </w:r>
          </w:p>
        </w:tc>
        <w:tc>
          <w:tcPr>
            <w:tcW w:w="873" w:type="dxa"/>
            <w:noWrap/>
            <w:hideMark/>
          </w:tcPr>
          <w:p w14:paraId="5D76B116"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3</w:t>
            </w:r>
          </w:p>
        </w:tc>
        <w:tc>
          <w:tcPr>
            <w:tcW w:w="873" w:type="dxa"/>
            <w:noWrap/>
            <w:hideMark/>
          </w:tcPr>
          <w:p w14:paraId="2D74827E"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4</w:t>
            </w:r>
          </w:p>
        </w:tc>
        <w:tc>
          <w:tcPr>
            <w:tcW w:w="873" w:type="dxa"/>
            <w:noWrap/>
            <w:hideMark/>
          </w:tcPr>
          <w:p w14:paraId="69BEEC05"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5</w:t>
            </w:r>
          </w:p>
        </w:tc>
        <w:tc>
          <w:tcPr>
            <w:tcW w:w="872" w:type="dxa"/>
            <w:noWrap/>
            <w:hideMark/>
          </w:tcPr>
          <w:p w14:paraId="5C716A42"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6</w:t>
            </w:r>
          </w:p>
        </w:tc>
        <w:tc>
          <w:tcPr>
            <w:tcW w:w="873" w:type="dxa"/>
            <w:noWrap/>
            <w:hideMark/>
          </w:tcPr>
          <w:p w14:paraId="06065C24"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STS</w:t>
            </w:r>
          </w:p>
        </w:tc>
        <w:tc>
          <w:tcPr>
            <w:tcW w:w="873" w:type="dxa"/>
            <w:noWrap/>
            <w:hideMark/>
          </w:tcPr>
          <w:p w14:paraId="3D0995B7"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73" w:type="dxa"/>
            <w:noWrap/>
            <w:hideMark/>
          </w:tcPr>
          <w:p w14:paraId="33C14FA5"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SES-2</w:t>
            </w:r>
          </w:p>
        </w:tc>
      </w:tr>
      <w:tr w:rsidR="006B6F05" w:rsidRPr="008E3944" w14:paraId="185FC948" w14:textId="77777777">
        <w:tc>
          <w:tcPr>
            <w:cnfStyle w:val="001000000000" w:firstRow="0" w:lastRow="0" w:firstColumn="1" w:lastColumn="0" w:oddVBand="0" w:evenVBand="0" w:oddHBand="0" w:evenHBand="0" w:firstRowFirstColumn="0" w:firstRowLastColumn="0" w:lastRowFirstColumn="0" w:lastRowLastColumn="0"/>
            <w:tcW w:w="2044" w:type="dxa"/>
            <w:tcBorders>
              <w:bottom w:val="single" w:sz="6" w:space="0" w:color="BFBFBF" w:themeColor="background1" w:themeShade="BF"/>
            </w:tcBorders>
            <w:noWrap/>
            <w:vAlign w:val="center"/>
            <w:hideMark/>
          </w:tcPr>
          <w:p w14:paraId="533980CE" w14:textId="0B65EADB" w:rsidR="006B6F05" w:rsidRPr="00682215" w:rsidRDefault="006B6F05" w:rsidP="006B6F05">
            <w:r>
              <w:rPr>
                <w:rFonts w:ascii="Arial" w:hAnsi="Arial" w:cs="Arial"/>
                <w:color w:val="000000"/>
                <w:sz w:val="15"/>
                <w:szCs w:val="15"/>
              </w:rPr>
              <w:t>2026-27 Mid Salary point</w:t>
            </w:r>
          </w:p>
        </w:tc>
        <w:tc>
          <w:tcPr>
            <w:tcW w:w="872" w:type="dxa"/>
            <w:tcBorders>
              <w:bottom w:val="single" w:sz="6" w:space="0" w:color="BFBFBF" w:themeColor="background1" w:themeShade="BF"/>
            </w:tcBorders>
            <w:noWrap/>
            <w:vAlign w:val="center"/>
            <w:hideMark/>
          </w:tcPr>
          <w:p w14:paraId="600F5020" w14:textId="4F3F1006"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$70,929 </w:t>
            </w:r>
          </w:p>
        </w:tc>
        <w:tc>
          <w:tcPr>
            <w:tcW w:w="873" w:type="dxa"/>
            <w:tcBorders>
              <w:bottom w:val="single" w:sz="6" w:space="0" w:color="BFBFBF" w:themeColor="background1" w:themeShade="BF"/>
            </w:tcBorders>
            <w:noWrap/>
            <w:vAlign w:val="center"/>
            <w:hideMark/>
          </w:tcPr>
          <w:p w14:paraId="4681CE0A" w14:textId="325C67CD"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$90,226 </w:t>
            </w:r>
          </w:p>
        </w:tc>
        <w:tc>
          <w:tcPr>
            <w:tcW w:w="873" w:type="dxa"/>
            <w:tcBorders>
              <w:bottom w:val="single" w:sz="6" w:space="0" w:color="BFBFBF" w:themeColor="background1" w:themeShade="BF"/>
            </w:tcBorders>
            <w:noWrap/>
            <w:vAlign w:val="center"/>
            <w:hideMark/>
          </w:tcPr>
          <w:p w14:paraId="7CCA3D7B" w14:textId="02176A82"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$107,685 </w:t>
            </w:r>
          </w:p>
        </w:tc>
        <w:tc>
          <w:tcPr>
            <w:tcW w:w="873" w:type="dxa"/>
            <w:tcBorders>
              <w:bottom w:val="single" w:sz="6" w:space="0" w:color="BFBFBF" w:themeColor="background1" w:themeShade="BF"/>
            </w:tcBorders>
            <w:noWrap/>
            <w:vAlign w:val="center"/>
            <w:hideMark/>
          </w:tcPr>
          <w:p w14:paraId="75A58E71" w14:textId="4F36D562"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$128,631 </w:t>
            </w:r>
          </w:p>
        </w:tc>
        <w:tc>
          <w:tcPr>
            <w:tcW w:w="872" w:type="dxa"/>
            <w:tcBorders>
              <w:bottom w:val="single" w:sz="6" w:space="0" w:color="BFBFBF" w:themeColor="background1" w:themeShade="BF"/>
            </w:tcBorders>
            <w:noWrap/>
            <w:vAlign w:val="center"/>
            <w:hideMark/>
          </w:tcPr>
          <w:p w14:paraId="6B568181" w14:textId="145A8486"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$166,937 </w:t>
            </w:r>
          </w:p>
        </w:tc>
        <w:tc>
          <w:tcPr>
            <w:tcW w:w="873" w:type="dxa"/>
            <w:tcBorders>
              <w:bottom w:val="single" w:sz="6" w:space="0" w:color="BFBFBF" w:themeColor="background1" w:themeShade="BF"/>
            </w:tcBorders>
            <w:noWrap/>
            <w:vAlign w:val="center"/>
            <w:hideMark/>
          </w:tcPr>
          <w:p w14:paraId="70B326D3" w14:textId="1A322260"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$228,859 </w:t>
            </w:r>
          </w:p>
        </w:tc>
        <w:tc>
          <w:tcPr>
            <w:tcW w:w="873" w:type="dxa"/>
            <w:tcBorders>
              <w:bottom w:val="single" w:sz="6" w:space="0" w:color="BFBFBF" w:themeColor="background1" w:themeShade="BF"/>
            </w:tcBorders>
            <w:noWrap/>
            <w:vAlign w:val="center"/>
            <w:hideMark/>
          </w:tcPr>
          <w:p w14:paraId="23E55B53" w14:textId="0AFED30A"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$245,291 </w:t>
            </w:r>
          </w:p>
        </w:tc>
        <w:tc>
          <w:tcPr>
            <w:tcW w:w="873" w:type="dxa"/>
            <w:tcBorders>
              <w:bottom w:val="single" w:sz="6" w:space="0" w:color="BFBFBF" w:themeColor="background1" w:themeShade="BF"/>
            </w:tcBorders>
            <w:noWrap/>
            <w:vAlign w:val="center"/>
            <w:hideMark/>
          </w:tcPr>
          <w:p w14:paraId="30ED3D92" w14:textId="188AC147"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$337,586 </w:t>
            </w:r>
          </w:p>
        </w:tc>
      </w:tr>
      <w:tr w:rsidR="006B6F05" w:rsidRPr="008E3944" w14:paraId="21DD796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2DB98E52" w14:textId="77777777" w:rsidR="006B6F05" w:rsidRPr="00682215" w:rsidRDefault="006B6F05" w:rsidP="006B6F05">
            <w:r w:rsidRPr="00184DA0">
              <w:rPr>
                <w:sz w:val="15"/>
                <w:szCs w:val="15"/>
              </w:rPr>
              <w:t xml:space="preserve">Mobility payment </w:t>
            </w:r>
          </w:p>
        </w:tc>
        <w:tc>
          <w:tcPr>
            <w:tcW w:w="872" w:type="dxa"/>
            <w:tcBorders>
              <w:top w:val="single" w:sz="6" w:space="0" w:color="BFBFBF" w:themeColor="background1" w:themeShade="BF"/>
              <w:bottom w:val="single" w:sz="6" w:space="0" w:color="BFBFBF" w:themeColor="background1" w:themeShade="BF"/>
            </w:tcBorders>
            <w:noWrap/>
            <w:vAlign w:val="center"/>
          </w:tcPr>
          <w:p w14:paraId="4295BE59" w14:textId="163327F8"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$942 </w:t>
            </w:r>
          </w:p>
        </w:tc>
        <w:tc>
          <w:tcPr>
            <w:tcW w:w="873" w:type="dxa"/>
            <w:tcBorders>
              <w:top w:val="single" w:sz="6" w:space="0" w:color="BFBFBF" w:themeColor="background1" w:themeShade="BF"/>
              <w:bottom w:val="single" w:sz="6" w:space="0" w:color="BFBFBF" w:themeColor="background1" w:themeShade="BF"/>
            </w:tcBorders>
            <w:noWrap/>
            <w:vAlign w:val="center"/>
          </w:tcPr>
          <w:p w14:paraId="05B43F04" w14:textId="3D96792E"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$1,183 </w:t>
            </w:r>
          </w:p>
        </w:tc>
        <w:tc>
          <w:tcPr>
            <w:tcW w:w="873" w:type="dxa"/>
            <w:tcBorders>
              <w:top w:val="single" w:sz="6" w:space="0" w:color="BFBFBF" w:themeColor="background1" w:themeShade="BF"/>
              <w:bottom w:val="single" w:sz="6" w:space="0" w:color="BFBFBF" w:themeColor="background1" w:themeShade="BF"/>
            </w:tcBorders>
            <w:noWrap/>
            <w:vAlign w:val="center"/>
          </w:tcPr>
          <w:p w14:paraId="6EE23865" w14:textId="512753EA"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$1,431 </w:t>
            </w:r>
          </w:p>
        </w:tc>
        <w:tc>
          <w:tcPr>
            <w:tcW w:w="873" w:type="dxa"/>
            <w:tcBorders>
              <w:top w:val="single" w:sz="6" w:space="0" w:color="BFBFBF" w:themeColor="background1" w:themeShade="BF"/>
              <w:bottom w:val="single" w:sz="6" w:space="0" w:color="BFBFBF" w:themeColor="background1" w:themeShade="BF"/>
            </w:tcBorders>
            <w:noWrap/>
            <w:vAlign w:val="center"/>
          </w:tcPr>
          <w:p w14:paraId="779A6084" w14:textId="06F0E457"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$1,685 </w:t>
            </w:r>
          </w:p>
        </w:tc>
        <w:tc>
          <w:tcPr>
            <w:tcW w:w="872" w:type="dxa"/>
            <w:tcBorders>
              <w:top w:val="single" w:sz="6" w:space="0" w:color="BFBFBF" w:themeColor="background1" w:themeShade="BF"/>
              <w:bottom w:val="single" w:sz="6" w:space="0" w:color="BFBFBF" w:themeColor="background1" w:themeShade="BF"/>
            </w:tcBorders>
            <w:noWrap/>
            <w:vAlign w:val="center"/>
          </w:tcPr>
          <w:p w14:paraId="7875A275" w14:textId="748E07AC"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$2,238 </w:t>
            </w:r>
          </w:p>
        </w:tc>
        <w:tc>
          <w:tcPr>
            <w:tcW w:w="873" w:type="dxa"/>
            <w:tcBorders>
              <w:top w:val="single" w:sz="6" w:space="0" w:color="BFBFBF" w:themeColor="background1" w:themeShade="BF"/>
              <w:bottom w:val="single" w:sz="6" w:space="0" w:color="BFBFBF" w:themeColor="background1" w:themeShade="BF"/>
            </w:tcBorders>
            <w:noWrap/>
            <w:vAlign w:val="center"/>
          </w:tcPr>
          <w:p w14:paraId="53E6621B" w14:textId="6495E88C"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$3,006 </w:t>
            </w:r>
          </w:p>
        </w:tc>
        <w:tc>
          <w:tcPr>
            <w:tcW w:w="873" w:type="dxa"/>
            <w:tcBorders>
              <w:top w:val="single" w:sz="6" w:space="0" w:color="BFBFBF" w:themeColor="background1" w:themeShade="BF"/>
              <w:bottom w:val="single" w:sz="6" w:space="0" w:color="BFBFBF" w:themeColor="background1" w:themeShade="BF"/>
            </w:tcBorders>
            <w:noWrap/>
            <w:vAlign w:val="center"/>
          </w:tcPr>
          <w:p w14:paraId="484E8C89" w14:textId="1FCE241B"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$0 </w:t>
            </w:r>
          </w:p>
        </w:tc>
        <w:tc>
          <w:tcPr>
            <w:tcW w:w="873" w:type="dxa"/>
            <w:tcBorders>
              <w:top w:val="single" w:sz="6" w:space="0" w:color="BFBFBF" w:themeColor="background1" w:themeShade="BF"/>
              <w:bottom w:val="single" w:sz="6" w:space="0" w:color="BFBFBF" w:themeColor="background1" w:themeShade="BF"/>
            </w:tcBorders>
            <w:noWrap/>
            <w:vAlign w:val="center"/>
          </w:tcPr>
          <w:p w14:paraId="08723EBC" w14:textId="120BD338"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$0 </w:t>
            </w:r>
          </w:p>
        </w:tc>
      </w:tr>
      <w:tr w:rsidR="006B6F05" w:rsidRPr="008E3944" w14:paraId="62913400"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48874CB8" w14:textId="77777777" w:rsidR="006B6F05" w:rsidRPr="00682215" w:rsidRDefault="006B6F05" w:rsidP="006B6F05">
            <w:r w:rsidRPr="00184DA0">
              <w:rPr>
                <w:sz w:val="15"/>
                <w:szCs w:val="15"/>
              </w:rPr>
              <w:t>Superannuation</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099702B1" w14:textId="658370A3" w:rsidR="006B6F05" w:rsidRPr="00C839D0"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$8,624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14EFD99" w14:textId="17326C9D" w:rsidR="006B6F05" w:rsidRPr="00C839D0"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$10,969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E637A06" w14:textId="688DF396" w:rsidR="006B6F05" w:rsidRPr="00C839D0"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$13,094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94D0ECC" w14:textId="008F0DCA" w:rsidR="006B6F05" w:rsidRPr="00C839D0"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$15,638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7C3D8C83" w14:textId="234B2F2D" w:rsidR="006B6F05" w:rsidRPr="00C839D0"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$20,301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604466B6" w14:textId="00877FA4" w:rsidR="006B6F05" w:rsidRPr="00C839D0"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$27,824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B254E53" w14:textId="59BCF14C"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$29,435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213AA9CF" w14:textId="1ED2C3C1"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$40,510 </w:t>
            </w:r>
          </w:p>
        </w:tc>
      </w:tr>
      <w:tr w:rsidR="006B6F05" w:rsidRPr="008E3944" w14:paraId="49CE1E1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7784E0FA" w14:textId="77777777" w:rsidR="006B6F05" w:rsidRPr="00682215" w:rsidRDefault="006B6F05" w:rsidP="006B6F05">
            <w:r w:rsidRPr="00184DA0">
              <w:rPr>
                <w:sz w:val="15"/>
                <w:szCs w:val="15"/>
              </w:rPr>
              <w:t>Salary on-costs – Rate</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3FB7D620" w14:textId="26134B54"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A9E547B" w14:textId="6E460915"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71BB7C4" w14:textId="452CADC5"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D65C62C" w14:textId="605FEEFA"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12.63%</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44707C72" w14:textId="3E8DA6B4"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12.35%</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2A630200" w14:textId="79042299"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12.10%</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35072A6" w14:textId="23B19081"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11.32%</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04B0A12" w14:textId="110F3F4D"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11.32%</w:t>
            </w:r>
          </w:p>
        </w:tc>
      </w:tr>
      <w:tr w:rsidR="006B6F05" w:rsidRPr="008E3944" w14:paraId="6C925B2D"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03664CFA" w14:textId="77777777" w:rsidR="006B6F05" w:rsidRPr="00682215" w:rsidRDefault="006B6F05" w:rsidP="006B6F05">
            <w:r w:rsidRPr="00184DA0">
              <w:rPr>
                <w:sz w:val="15"/>
                <w:szCs w:val="15"/>
              </w:rPr>
              <w:t>Mobility on-cost – Rate</w:t>
            </w:r>
          </w:p>
        </w:tc>
        <w:tc>
          <w:tcPr>
            <w:tcW w:w="872" w:type="dxa"/>
            <w:tcBorders>
              <w:top w:val="single" w:sz="6" w:space="0" w:color="BFBFBF" w:themeColor="background1" w:themeShade="BF"/>
              <w:bottom w:val="single" w:sz="6" w:space="0" w:color="BFBFBF" w:themeColor="background1" w:themeShade="BF"/>
            </w:tcBorders>
            <w:noWrap/>
            <w:vAlign w:val="center"/>
          </w:tcPr>
          <w:p w14:paraId="06A3D1C4" w14:textId="4DCBBECB"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55B2EF7E" w14:textId="2DC794B2"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4C9AA3D1" w14:textId="15373DF1"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638B6A1B" w14:textId="6A45F2C7"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2" w:type="dxa"/>
            <w:tcBorders>
              <w:top w:val="single" w:sz="6" w:space="0" w:color="BFBFBF" w:themeColor="background1" w:themeShade="BF"/>
              <w:bottom w:val="single" w:sz="6" w:space="0" w:color="BFBFBF" w:themeColor="background1" w:themeShade="BF"/>
            </w:tcBorders>
            <w:noWrap/>
            <w:vAlign w:val="center"/>
          </w:tcPr>
          <w:p w14:paraId="76727E33" w14:textId="16F8C991"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2160560D" w14:textId="44D00482"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73" w:type="dxa"/>
            <w:tcBorders>
              <w:top w:val="single" w:sz="6" w:space="0" w:color="BFBFBF" w:themeColor="background1" w:themeShade="BF"/>
              <w:bottom w:val="single" w:sz="6" w:space="0" w:color="BFBFBF" w:themeColor="background1" w:themeShade="BF"/>
            </w:tcBorders>
            <w:noWrap/>
            <w:vAlign w:val="center"/>
          </w:tcPr>
          <w:p w14:paraId="07D1FD61" w14:textId="69613955"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0.00%</w:t>
            </w:r>
          </w:p>
        </w:tc>
        <w:tc>
          <w:tcPr>
            <w:tcW w:w="873" w:type="dxa"/>
            <w:tcBorders>
              <w:top w:val="single" w:sz="6" w:space="0" w:color="BFBFBF" w:themeColor="background1" w:themeShade="BF"/>
              <w:bottom w:val="single" w:sz="6" w:space="0" w:color="BFBFBF" w:themeColor="background1" w:themeShade="BF"/>
            </w:tcBorders>
            <w:noWrap/>
            <w:vAlign w:val="center"/>
          </w:tcPr>
          <w:p w14:paraId="1DF21EC0" w14:textId="38E1D886"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0.00%</w:t>
            </w:r>
          </w:p>
        </w:tc>
      </w:tr>
      <w:tr w:rsidR="006B6F05" w:rsidRPr="008E3944" w14:paraId="6D3B54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45C0CCBA" w14:textId="77777777" w:rsidR="006B6F05" w:rsidRPr="00682215" w:rsidRDefault="006B6F05" w:rsidP="006B6F05">
            <w:r w:rsidRPr="00184DA0">
              <w:rPr>
                <w:sz w:val="15"/>
                <w:szCs w:val="15"/>
              </w:rPr>
              <w:t>On-costs –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107ACD52" w14:textId="2D477493"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$9,135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2237CC8" w14:textId="0A3C5467"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$11,620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676F520" w14:textId="61A93281"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$13,870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CA698C1" w14:textId="626AE223"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$16,374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6E3EEC91" w14:textId="1C81B131"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$20,794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F066950" w14:textId="78872777"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$27,930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4031EF8" w14:textId="43AE7E9A"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$27,764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6C7E223" w14:textId="45752080"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$38,211 </w:t>
            </w:r>
          </w:p>
        </w:tc>
      </w:tr>
      <w:tr w:rsidR="006B6F05" w:rsidRPr="008E3944" w14:paraId="0A5FC585"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1836A80D" w14:textId="77777777" w:rsidR="006B6F05" w:rsidRPr="00682215" w:rsidRDefault="006B6F05" w:rsidP="006B6F05">
            <w:r w:rsidRPr="00184DA0">
              <w:rPr>
                <w:sz w:val="15"/>
                <w:szCs w:val="15"/>
              </w:rPr>
              <w:t>Operating costs</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03D9B000" w14:textId="3122D0B1"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141A918" w14:textId="3CE57291"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F00E74B" w14:textId="3693BD0D"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0B5FF77" w14:textId="15949877"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$13,747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21163C31" w14:textId="5534C45E"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6D0FF3F9" w14:textId="1AC2B006"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180F7EF0" w14:textId="3C919549"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25856AD2" w14:textId="61D0911D" w:rsidR="006B6F05" w:rsidRPr="002B1512" w:rsidRDefault="006B6F05" w:rsidP="006B6F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7E1C9F">
              <w:rPr>
                <w:rFonts w:ascii="Arial" w:hAnsi="Arial" w:cs="Arial"/>
                <w:color w:val="000000"/>
                <w:sz w:val="15"/>
                <w:szCs w:val="15"/>
              </w:rPr>
              <w:t xml:space="preserve">$13,747 </w:t>
            </w:r>
          </w:p>
        </w:tc>
      </w:tr>
      <w:tr w:rsidR="006B6F05" w:rsidRPr="008E3944" w14:paraId="42C7D34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12" w:space="0" w:color="68CEF2" w:themeColor="accent2"/>
            </w:tcBorders>
            <w:noWrap/>
            <w:vAlign w:val="center"/>
            <w:hideMark/>
          </w:tcPr>
          <w:p w14:paraId="172940E2" w14:textId="77777777" w:rsidR="006B6F05" w:rsidRPr="00682215" w:rsidRDefault="006B6F05" w:rsidP="006B6F05">
            <w:r>
              <w:rPr>
                <w:rFonts w:ascii="Arial" w:hAnsi="Arial" w:cs="Arial"/>
                <w:color w:val="000000"/>
                <w:sz w:val="15"/>
                <w:szCs w:val="15"/>
              </w:rPr>
              <w:t>Total standard cost</w:t>
            </w:r>
          </w:p>
        </w:tc>
        <w:tc>
          <w:tcPr>
            <w:tcW w:w="872" w:type="dxa"/>
            <w:tcBorders>
              <w:top w:val="single" w:sz="6" w:space="0" w:color="BFBFBF" w:themeColor="background1" w:themeShade="BF"/>
              <w:bottom w:val="single" w:sz="12" w:space="0" w:color="68CEF2" w:themeColor="accent2"/>
            </w:tcBorders>
            <w:noWrap/>
            <w:vAlign w:val="center"/>
            <w:hideMark/>
          </w:tcPr>
          <w:p w14:paraId="24AACF1B" w14:textId="6518E74F" w:rsidR="006B6F05" w:rsidRPr="00795C1E"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$103,377 </w:t>
            </w:r>
          </w:p>
        </w:tc>
        <w:tc>
          <w:tcPr>
            <w:tcW w:w="873" w:type="dxa"/>
            <w:tcBorders>
              <w:top w:val="single" w:sz="6" w:space="0" w:color="BFBFBF" w:themeColor="background1" w:themeShade="BF"/>
              <w:bottom w:val="single" w:sz="12" w:space="0" w:color="68CEF2" w:themeColor="accent2"/>
            </w:tcBorders>
            <w:noWrap/>
            <w:vAlign w:val="center"/>
            <w:hideMark/>
          </w:tcPr>
          <w:p w14:paraId="47D810B4" w14:textId="2968C667" w:rsidR="006B6F05" w:rsidRPr="00795C1E"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$127,744 </w:t>
            </w:r>
          </w:p>
        </w:tc>
        <w:tc>
          <w:tcPr>
            <w:tcW w:w="873" w:type="dxa"/>
            <w:tcBorders>
              <w:top w:val="single" w:sz="6" w:space="0" w:color="BFBFBF" w:themeColor="background1" w:themeShade="BF"/>
              <w:bottom w:val="single" w:sz="12" w:space="0" w:color="68CEF2" w:themeColor="accent2"/>
            </w:tcBorders>
            <w:noWrap/>
            <w:vAlign w:val="center"/>
            <w:hideMark/>
          </w:tcPr>
          <w:p w14:paraId="4705B7AF" w14:textId="688A2D42" w:rsidR="006B6F05" w:rsidRPr="00795C1E"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$149,827 </w:t>
            </w:r>
          </w:p>
        </w:tc>
        <w:tc>
          <w:tcPr>
            <w:tcW w:w="873" w:type="dxa"/>
            <w:tcBorders>
              <w:top w:val="single" w:sz="6" w:space="0" w:color="BFBFBF" w:themeColor="background1" w:themeShade="BF"/>
              <w:bottom w:val="single" w:sz="12" w:space="0" w:color="68CEF2" w:themeColor="accent2"/>
            </w:tcBorders>
            <w:noWrap/>
            <w:vAlign w:val="center"/>
            <w:hideMark/>
          </w:tcPr>
          <w:p w14:paraId="41649CCD" w14:textId="6841B561" w:rsidR="006B6F05" w:rsidRPr="00795C1E"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$176,075 </w:t>
            </w:r>
          </w:p>
        </w:tc>
        <w:tc>
          <w:tcPr>
            <w:tcW w:w="872" w:type="dxa"/>
            <w:tcBorders>
              <w:top w:val="single" w:sz="6" w:space="0" w:color="BFBFBF" w:themeColor="background1" w:themeShade="BF"/>
              <w:bottom w:val="single" w:sz="12" w:space="0" w:color="68CEF2" w:themeColor="accent2"/>
            </w:tcBorders>
            <w:noWrap/>
            <w:vAlign w:val="center"/>
            <w:hideMark/>
          </w:tcPr>
          <w:p w14:paraId="4BE03159" w14:textId="4B3B8904" w:rsidR="006B6F05" w:rsidRPr="00795C1E"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$224,017 </w:t>
            </w:r>
          </w:p>
        </w:tc>
        <w:tc>
          <w:tcPr>
            <w:tcW w:w="873" w:type="dxa"/>
            <w:tcBorders>
              <w:top w:val="single" w:sz="6" w:space="0" w:color="BFBFBF" w:themeColor="background1" w:themeShade="BF"/>
              <w:bottom w:val="single" w:sz="12" w:space="0" w:color="68CEF2" w:themeColor="accent2"/>
            </w:tcBorders>
            <w:noWrap/>
            <w:vAlign w:val="center"/>
            <w:hideMark/>
          </w:tcPr>
          <w:p w14:paraId="72D20B1B" w14:textId="0E182022" w:rsidR="006B6F05" w:rsidRPr="00795C1E"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$301,365 </w:t>
            </w:r>
          </w:p>
        </w:tc>
        <w:tc>
          <w:tcPr>
            <w:tcW w:w="873" w:type="dxa"/>
            <w:tcBorders>
              <w:top w:val="single" w:sz="6" w:space="0" w:color="BFBFBF" w:themeColor="background1" w:themeShade="BF"/>
              <w:bottom w:val="single" w:sz="12" w:space="0" w:color="68CEF2" w:themeColor="accent2"/>
            </w:tcBorders>
            <w:noWrap/>
            <w:vAlign w:val="center"/>
            <w:hideMark/>
          </w:tcPr>
          <w:p w14:paraId="7F00FA99" w14:textId="64B3E366"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$316,238 </w:t>
            </w:r>
          </w:p>
        </w:tc>
        <w:tc>
          <w:tcPr>
            <w:tcW w:w="873" w:type="dxa"/>
            <w:tcBorders>
              <w:top w:val="single" w:sz="6" w:space="0" w:color="BFBFBF" w:themeColor="background1" w:themeShade="BF"/>
              <w:bottom w:val="single" w:sz="12" w:space="0" w:color="68CEF2" w:themeColor="accent2"/>
            </w:tcBorders>
            <w:noWrap/>
            <w:vAlign w:val="center"/>
            <w:hideMark/>
          </w:tcPr>
          <w:p w14:paraId="639AC015" w14:textId="239F2043" w:rsidR="006B6F05" w:rsidRPr="002B1512" w:rsidRDefault="006B6F05" w:rsidP="006B6F05">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$430,054 </w:t>
            </w:r>
          </w:p>
        </w:tc>
      </w:tr>
    </w:tbl>
    <w:p w14:paraId="24EC475E" w14:textId="77777777" w:rsidR="00F93D2E" w:rsidRDefault="00F93D2E" w:rsidP="00F93D2E">
      <w:pPr>
        <w:pStyle w:val="Note"/>
      </w:pPr>
      <w:r>
        <w:t>Note:</w:t>
      </w:r>
    </w:p>
    <w:p w14:paraId="177AB093" w14:textId="77777777" w:rsidR="00F93D2E" w:rsidRDefault="00F93D2E" w:rsidP="00F93D2E">
      <w:pPr>
        <w:pStyle w:val="Note"/>
      </w:pPr>
      <w:r>
        <w:t>(a)</w:t>
      </w:r>
      <w:r>
        <w:tab/>
        <w:t xml:space="preserve">The mid salary </w:t>
      </w:r>
      <w:proofErr w:type="gramStart"/>
      <w:r>
        <w:t>point</w:t>
      </w:r>
      <w:proofErr w:type="gramEnd"/>
      <w:r>
        <w:t xml:space="preserve"> of salaries at 1 July 2026, per the 2024 VPS EBA</w:t>
      </w:r>
      <w:r w:rsidRPr="00EB549B">
        <w:t xml:space="preserve">. </w:t>
      </w:r>
    </w:p>
    <w:p w14:paraId="58D4BF8F" w14:textId="77777777" w:rsidR="00F93D2E" w:rsidRDefault="00F93D2E" w:rsidP="00F93D2E">
      <w:pPr>
        <w:pStyle w:val="Note"/>
      </w:pPr>
      <w:r>
        <w:t>(b)   The mobility payment rates as per 1 July 2026, per the 2024 VPS EBA</w:t>
      </w:r>
      <w:r w:rsidRPr="00EB549B">
        <w:t>.</w:t>
      </w:r>
    </w:p>
    <w:p w14:paraId="444F0115" w14:textId="0D94F5FD" w:rsidR="003911A1" w:rsidRDefault="00B8167F" w:rsidP="003911A1">
      <w:r>
        <w:br w:type="page"/>
      </w:r>
    </w:p>
    <w:tbl>
      <w:tblPr>
        <w:tblStyle w:val="DTFfinancialtable"/>
        <w:tblW w:w="5000" w:type="pct"/>
        <w:tblLayout w:type="fixed"/>
        <w:tblLook w:val="04A0" w:firstRow="1" w:lastRow="0" w:firstColumn="1" w:lastColumn="0" w:noHBand="0" w:noVBand="1"/>
      </w:tblPr>
      <w:tblGrid>
        <w:gridCol w:w="2103"/>
        <w:gridCol w:w="868"/>
        <w:gridCol w:w="865"/>
        <w:gridCol w:w="865"/>
        <w:gridCol w:w="865"/>
        <w:gridCol w:w="865"/>
        <w:gridCol w:w="865"/>
        <w:gridCol w:w="865"/>
        <w:gridCol w:w="865"/>
      </w:tblGrid>
      <w:tr w:rsidR="003911A1" w:rsidRPr="008E3944" w14:paraId="03A463B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25E95667" w14:textId="49F09F8C" w:rsidR="003911A1" w:rsidRPr="008E3944" w:rsidRDefault="003911A1">
            <w:r w:rsidRPr="008E3944">
              <w:t xml:space="preserve">VPS staff </w:t>
            </w:r>
            <w:r>
              <w:t>–</w:t>
            </w:r>
            <w:r w:rsidRPr="008E3944">
              <w:t xml:space="preserve"> Commencing in </w:t>
            </w:r>
            <w:r w:rsidR="00010068" w:rsidRPr="008E3944">
              <w:t>202</w:t>
            </w:r>
            <w:r w:rsidR="00010068">
              <w:t>7</w:t>
            </w:r>
            <w:r w:rsidR="00010068" w:rsidRPr="008E3944">
              <w:t>-2</w:t>
            </w:r>
            <w:r w:rsidR="00010068">
              <w:t>8</w:t>
            </w:r>
            <w:r w:rsidR="00010068" w:rsidRPr="008E3944" w:rsidDel="00010068">
              <w:t xml:space="preserve"> </w:t>
            </w:r>
            <w:r w:rsidRPr="00ED5558">
              <w:rPr>
                <w:vertAlign w:val="superscript"/>
              </w:rPr>
              <w:t>(a)</w:t>
            </w:r>
            <w:r>
              <w:rPr>
                <w:vertAlign w:val="superscript"/>
              </w:rPr>
              <w:t>(b)</w:t>
            </w:r>
          </w:p>
        </w:tc>
      </w:tr>
      <w:tr w:rsidR="003911A1" w:rsidRPr="008E3944" w14:paraId="6F9F9DF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03" w:type="dxa"/>
            <w:noWrap/>
            <w:hideMark/>
          </w:tcPr>
          <w:p w14:paraId="54933DF3" w14:textId="77777777" w:rsidR="003911A1" w:rsidRPr="008E3944" w:rsidRDefault="003911A1">
            <w:r w:rsidRPr="008E3944">
              <w:t> </w:t>
            </w:r>
          </w:p>
        </w:tc>
        <w:tc>
          <w:tcPr>
            <w:tcW w:w="868" w:type="dxa"/>
            <w:noWrap/>
            <w:hideMark/>
          </w:tcPr>
          <w:p w14:paraId="2FBC6985"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2</w:t>
            </w:r>
          </w:p>
        </w:tc>
        <w:tc>
          <w:tcPr>
            <w:tcW w:w="865" w:type="dxa"/>
            <w:noWrap/>
            <w:hideMark/>
          </w:tcPr>
          <w:p w14:paraId="6A28EFC7"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3</w:t>
            </w:r>
          </w:p>
        </w:tc>
        <w:tc>
          <w:tcPr>
            <w:tcW w:w="865" w:type="dxa"/>
            <w:noWrap/>
            <w:hideMark/>
          </w:tcPr>
          <w:p w14:paraId="3F8384AD"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4</w:t>
            </w:r>
          </w:p>
        </w:tc>
        <w:tc>
          <w:tcPr>
            <w:tcW w:w="865" w:type="dxa"/>
            <w:noWrap/>
            <w:hideMark/>
          </w:tcPr>
          <w:p w14:paraId="3385C374"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5</w:t>
            </w:r>
          </w:p>
        </w:tc>
        <w:tc>
          <w:tcPr>
            <w:tcW w:w="865" w:type="dxa"/>
            <w:noWrap/>
            <w:hideMark/>
          </w:tcPr>
          <w:p w14:paraId="2DA8147B"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6</w:t>
            </w:r>
          </w:p>
        </w:tc>
        <w:tc>
          <w:tcPr>
            <w:tcW w:w="865" w:type="dxa"/>
            <w:noWrap/>
            <w:hideMark/>
          </w:tcPr>
          <w:p w14:paraId="24267645"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STS</w:t>
            </w:r>
          </w:p>
        </w:tc>
        <w:tc>
          <w:tcPr>
            <w:tcW w:w="865" w:type="dxa"/>
            <w:noWrap/>
            <w:hideMark/>
          </w:tcPr>
          <w:p w14:paraId="729408C2"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65" w:type="dxa"/>
            <w:noWrap/>
            <w:hideMark/>
          </w:tcPr>
          <w:p w14:paraId="3420F68F"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SES-2</w:t>
            </w:r>
          </w:p>
        </w:tc>
      </w:tr>
      <w:tr w:rsidR="008A1C11" w:rsidRPr="008E3944" w14:paraId="25D77F94" w14:textId="77777777">
        <w:tc>
          <w:tcPr>
            <w:cnfStyle w:val="001000000000" w:firstRow="0" w:lastRow="0" w:firstColumn="1" w:lastColumn="0" w:oddVBand="0" w:evenVBand="0" w:oddHBand="0" w:evenHBand="0" w:firstRowFirstColumn="0" w:firstRowLastColumn="0" w:lastRowFirstColumn="0" w:lastRowLastColumn="0"/>
            <w:tcW w:w="2103" w:type="dxa"/>
            <w:tcBorders>
              <w:bottom w:val="single" w:sz="6" w:space="0" w:color="BFBFBF" w:themeColor="background1" w:themeShade="BF"/>
            </w:tcBorders>
            <w:noWrap/>
            <w:vAlign w:val="center"/>
            <w:hideMark/>
          </w:tcPr>
          <w:p w14:paraId="597D1581" w14:textId="1B501E02" w:rsidR="008A1C11" w:rsidRPr="008E3944" w:rsidRDefault="008A1C11" w:rsidP="008A1C11">
            <w:r>
              <w:rPr>
                <w:rFonts w:ascii="Arial" w:hAnsi="Arial" w:cs="Arial"/>
                <w:color w:val="000000"/>
                <w:sz w:val="15"/>
                <w:szCs w:val="15"/>
              </w:rPr>
              <w:t>2027-28 Mid Salary point</w:t>
            </w:r>
          </w:p>
        </w:tc>
        <w:tc>
          <w:tcPr>
            <w:tcW w:w="868" w:type="dxa"/>
            <w:tcBorders>
              <w:bottom w:val="single" w:sz="6" w:space="0" w:color="BFBFBF" w:themeColor="background1" w:themeShade="BF"/>
            </w:tcBorders>
            <w:noWrap/>
            <w:vAlign w:val="center"/>
            <w:hideMark/>
          </w:tcPr>
          <w:p w14:paraId="2EAED5FF" w14:textId="364DB104"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$73,057 </w:t>
            </w:r>
          </w:p>
        </w:tc>
        <w:tc>
          <w:tcPr>
            <w:tcW w:w="865" w:type="dxa"/>
            <w:tcBorders>
              <w:bottom w:val="single" w:sz="6" w:space="0" w:color="BFBFBF" w:themeColor="background1" w:themeShade="BF"/>
            </w:tcBorders>
            <w:noWrap/>
            <w:vAlign w:val="center"/>
            <w:hideMark/>
          </w:tcPr>
          <w:p w14:paraId="04547334" w14:textId="0627FAD8"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$92,933 </w:t>
            </w:r>
          </w:p>
        </w:tc>
        <w:tc>
          <w:tcPr>
            <w:tcW w:w="865" w:type="dxa"/>
            <w:tcBorders>
              <w:bottom w:val="single" w:sz="6" w:space="0" w:color="BFBFBF" w:themeColor="background1" w:themeShade="BF"/>
            </w:tcBorders>
            <w:noWrap/>
            <w:vAlign w:val="center"/>
            <w:hideMark/>
          </w:tcPr>
          <w:p w14:paraId="36D44405" w14:textId="76212501"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$110,916 </w:t>
            </w:r>
          </w:p>
        </w:tc>
        <w:tc>
          <w:tcPr>
            <w:tcW w:w="865" w:type="dxa"/>
            <w:tcBorders>
              <w:bottom w:val="single" w:sz="6" w:space="0" w:color="BFBFBF" w:themeColor="background1" w:themeShade="BF"/>
            </w:tcBorders>
            <w:noWrap/>
            <w:vAlign w:val="center"/>
            <w:hideMark/>
          </w:tcPr>
          <w:p w14:paraId="08423B27" w14:textId="35AFD520"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$132,490 </w:t>
            </w:r>
          </w:p>
        </w:tc>
        <w:tc>
          <w:tcPr>
            <w:tcW w:w="865" w:type="dxa"/>
            <w:tcBorders>
              <w:bottom w:val="single" w:sz="6" w:space="0" w:color="BFBFBF" w:themeColor="background1" w:themeShade="BF"/>
            </w:tcBorders>
            <w:noWrap/>
            <w:vAlign w:val="center"/>
            <w:hideMark/>
          </w:tcPr>
          <w:p w14:paraId="6FE3F7A5" w14:textId="05F394FC"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$171,946 </w:t>
            </w:r>
          </w:p>
        </w:tc>
        <w:tc>
          <w:tcPr>
            <w:tcW w:w="865" w:type="dxa"/>
            <w:tcBorders>
              <w:bottom w:val="single" w:sz="6" w:space="0" w:color="BFBFBF" w:themeColor="background1" w:themeShade="BF"/>
            </w:tcBorders>
            <w:noWrap/>
            <w:vAlign w:val="center"/>
            <w:hideMark/>
          </w:tcPr>
          <w:p w14:paraId="17A062CA" w14:textId="26788EDA"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$235,724 </w:t>
            </w:r>
          </w:p>
        </w:tc>
        <w:tc>
          <w:tcPr>
            <w:tcW w:w="865" w:type="dxa"/>
            <w:tcBorders>
              <w:bottom w:val="single" w:sz="6" w:space="0" w:color="BFBFBF" w:themeColor="background1" w:themeShade="BF"/>
            </w:tcBorders>
            <w:noWrap/>
            <w:vAlign w:val="center"/>
            <w:hideMark/>
          </w:tcPr>
          <w:p w14:paraId="7EFA9DF2" w14:textId="6F66DAE9"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$252,650 </w:t>
            </w:r>
          </w:p>
        </w:tc>
        <w:tc>
          <w:tcPr>
            <w:tcW w:w="865" w:type="dxa"/>
            <w:tcBorders>
              <w:bottom w:val="single" w:sz="6" w:space="0" w:color="BFBFBF" w:themeColor="background1" w:themeShade="BF"/>
            </w:tcBorders>
            <w:noWrap/>
            <w:vAlign w:val="center"/>
            <w:hideMark/>
          </w:tcPr>
          <w:p w14:paraId="6F8A4073" w14:textId="594AB84B"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$347,713 </w:t>
            </w:r>
          </w:p>
        </w:tc>
      </w:tr>
      <w:tr w:rsidR="008A1C11" w:rsidRPr="008E3944" w14:paraId="7AD9B9E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574617B9" w14:textId="77777777" w:rsidR="008A1C11" w:rsidRPr="008E3944" w:rsidRDefault="008A1C11" w:rsidP="008A1C11">
            <w:r w:rsidRPr="00184DA0">
              <w:rPr>
                <w:sz w:val="15"/>
                <w:szCs w:val="15"/>
              </w:rPr>
              <w:t xml:space="preserve">Mobility payment </w:t>
            </w:r>
          </w:p>
        </w:tc>
        <w:tc>
          <w:tcPr>
            <w:tcW w:w="868" w:type="dxa"/>
            <w:tcBorders>
              <w:top w:val="single" w:sz="6" w:space="0" w:color="BFBFBF" w:themeColor="background1" w:themeShade="BF"/>
              <w:bottom w:val="single" w:sz="6" w:space="0" w:color="BFBFBF" w:themeColor="background1" w:themeShade="BF"/>
            </w:tcBorders>
            <w:noWrap/>
            <w:vAlign w:val="center"/>
          </w:tcPr>
          <w:p w14:paraId="3708EE92" w14:textId="138D965D"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$970 </w:t>
            </w:r>
          </w:p>
        </w:tc>
        <w:tc>
          <w:tcPr>
            <w:tcW w:w="865" w:type="dxa"/>
            <w:tcBorders>
              <w:top w:val="single" w:sz="6" w:space="0" w:color="BFBFBF" w:themeColor="background1" w:themeShade="BF"/>
              <w:bottom w:val="single" w:sz="6" w:space="0" w:color="BFBFBF" w:themeColor="background1" w:themeShade="BF"/>
            </w:tcBorders>
            <w:noWrap/>
            <w:vAlign w:val="center"/>
          </w:tcPr>
          <w:p w14:paraId="6CB53320" w14:textId="431DF99A"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$1,218 </w:t>
            </w:r>
          </w:p>
        </w:tc>
        <w:tc>
          <w:tcPr>
            <w:tcW w:w="865" w:type="dxa"/>
            <w:tcBorders>
              <w:top w:val="single" w:sz="6" w:space="0" w:color="BFBFBF" w:themeColor="background1" w:themeShade="BF"/>
              <w:bottom w:val="single" w:sz="6" w:space="0" w:color="BFBFBF" w:themeColor="background1" w:themeShade="BF"/>
            </w:tcBorders>
            <w:noWrap/>
            <w:vAlign w:val="center"/>
          </w:tcPr>
          <w:p w14:paraId="7E773587" w14:textId="1479C709"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$1,474 </w:t>
            </w:r>
          </w:p>
        </w:tc>
        <w:tc>
          <w:tcPr>
            <w:tcW w:w="865" w:type="dxa"/>
            <w:tcBorders>
              <w:top w:val="single" w:sz="6" w:space="0" w:color="BFBFBF" w:themeColor="background1" w:themeShade="BF"/>
              <w:bottom w:val="single" w:sz="6" w:space="0" w:color="BFBFBF" w:themeColor="background1" w:themeShade="BF"/>
            </w:tcBorders>
            <w:noWrap/>
            <w:vAlign w:val="center"/>
          </w:tcPr>
          <w:p w14:paraId="3E4D7341" w14:textId="0E71285A"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$1,735 </w:t>
            </w:r>
          </w:p>
        </w:tc>
        <w:tc>
          <w:tcPr>
            <w:tcW w:w="865" w:type="dxa"/>
            <w:tcBorders>
              <w:top w:val="single" w:sz="6" w:space="0" w:color="BFBFBF" w:themeColor="background1" w:themeShade="BF"/>
              <w:bottom w:val="single" w:sz="6" w:space="0" w:color="BFBFBF" w:themeColor="background1" w:themeShade="BF"/>
            </w:tcBorders>
            <w:noWrap/>
            <w:vAlign w:val="center"/>
          </w:tcPr>
          <w:p w14:paraId="3C4B5E27" w14:textId="2B364338"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$2,305 </w:t>
            </w:r>
          </w:p>
        </w:tc>
        <w:tc>
          <w:tcPr>
            <w:tcW w:w="865" w:type="dxa"/>
            <w:tcBorders>
              <w:top w:val="single" w:sz="6" w:space="0" w:color="BFBFBF" w:themeColor="background1" w:themeShade="BF"/>
              <w:bottom w:val="single" w:sz="6" w:space="0" w:color="BFBFBF" w:themeColor="background1" w:themeShade="BF"/>
            </w:tcBorders>
            <w:noWrap/>
            <w:vAlign w:val="center"/>
          </w:tcPr>
          <w:p w14:paraId="3267DA55" w14:textId="2801DFD4"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$3,096 </w:t>
            </w:r>
          </w:p>
        </w:tc>
        <w:tc>
          <w:tcPr>
            <w:tcW w:w="865" w:type="dxa"/>
            <w:tcBorders>
              <w:top w:val="single" w:sz="6" w:space="0" w:color="BFBFBF" w:themeColor="background1" w:themeShade="BF"/>
              <w:bottom w:val="single" w:sz="6" w:space="0" w:color="BFBFBF" w:themeColor="background1" w:themeShade="BF"/>
            </w:tcBorders>
            <w:noWrap/>
            <w:vAlign w:val="center"/>
          </w:tcPr>
          <w:p w14:paraId="552FB263" w14:textId="79D5DD8D"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$0 </w:t>
            </w:r>
          </w:p>
        </w:tc>
        <w:tc>
          <w:tcPr>
            <w:tcW w:w="865" w:type="dxa"/>
            <w:tcBorders>
              <w:top w:val="single" w:sz="6" w:space="0" w:color="BFBFBF" w:themeColor="background1" w:themeShade="BF"/>
              <w:bottom w:val="single" w:sz="6" w:space="0" w:color="BFBFBF" w:themeColor="background1" w:themeShade="BF"/>
            </w:tcBorders>
            <w:noWrap/>
            <w:vAlign w:val="center"/>
          </w:tcPr>
          <w:p w14:paraId="21DB730F" w14:textId="05106CBA"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$0 </w:t>
            </w:r>
          </w:p>
        </w:tc>
      </w:tr>
      <w:tr w:rsidR="008A1C11" w:rsidRPr="008E3944" w14:paraId="6BDE4FA3"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0DBE8AC6" w14:textId="77777777" w:rsidR="008A1C11" w:rsidRPr="008E3944" w:rsidRDefault="008A1C11" w:rsidP="008A1C11">
            <w:r w:rsidRPr="00184DA0">
              <w:rPr>
                <w:sz w:val="15"/>
                <w:szCs w:val="15"/>
              </w:rPr>
              <w:t>Superannuation</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61DE811B" w14:textId="170A2729" w:rsidR="008A1C11" w:rsidRPr="00813267"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$8,883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00BC4F9" w14:textId="6A5B1493" w:rsidR="008A1C11" w:rsidRPr="00813267"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$11,298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4E9047F8" w14:textId="26DA1BD8" w:rsidR="008A1C11" w:rsidRPr="00813267"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$13,487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025C1D3" w14:textId="3FD25D7A" w:rsidR="008A1C11" w:rsidRPr="00813267"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$16,107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3896F22" w14:textId="30C6F28E" w:rsidR="008A1C11" w:rsidRPr="00813267"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$20,910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A7916AA" w14:textId="6B2E5112" w:rsidR="008A1C11" w:rsidRPr="00813267"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$28,658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2672AC9" w14:textId="61B93309"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$30,318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AE12F3F" w14:textId="7CEE46AC"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$41,726 </w:t>
            </w:r>
          </w:p>
        </w:tc>
      </w:tr>
      <w:tr w:rsidR="008A1C11" w:rsidRPr="008E3944" w14:paraId="0DD08C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4AA2128E" w14:textId="77777777" w:rsidR="008A1C11" w:rsidRPr="008E3944" w:rsidRDefault="008A1C11" w:rsidP="008A1C11">
            <w:r w:rsidRPr="00184DA0">
              <w:rPr>
                <w:sz w:val="15"/>
                <w:szCs w:val="15"/>
              </w:rPr>
              <w:t>Salary on-costs – Rate</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46AEB29E" w14:textId="3E6D8FB4"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70739DB" w14:textId="0C6E9C42"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B4353F6" w14:textId="099D03BD"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0F8D032" w14:textId="3E593727"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12.63%</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7457E11B" w14:textId="0D3E44AF"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12.35%</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A63CBEE" w14:textId="29BED0B9"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12.10%</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19364DF" w14:textId="424355FD"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11.32%</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E9178B4" w14:textId="19884372"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11.32%</w:t>
            </w:r>
          </w:p>
        </w:tc>
      </w:tr>
      <w:tr w:rsidR="008A1C11" w:rsidRPr="008E3944" w14:paraId="639AD3B2"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14A50EF2" w14:textId="77777777" w:rsidR="008A1C11" w:rsidRPr="008E3944" w:rsidRDefault="008A1C11" w:rsidP="008A1C11">
            <w:r w:rsidRPr="00184DA0">
              <w:rPr>
                <w:sz w:val="15"/>
                <w:szCs w:val="15"/>
              </w:rPr>
              <w:t>Mobility on-cost – Rate</w:t>
            </w:r>
          </w:p>
        </w:tc>
        <w:tc>
          <w:tcPr>
            <w:tcW w:w="868" w:type="dxa"/>
            <w:tcBorders>
              <w:top w:val="single" w:sz="6" w:space="0" w:color="BFBFBF" w:themeColor="background1" w:themeShade="BF"/>
              <w:bottom w:val="single" w:sz="6" w:space="0" w:color="BFBFBF" w:themeColor="background1" w:themeShade="BF"/>
            </w:tcBorders>
            <w:noWrap/>
            <w:vAlign w:val="center"/>
          </w:tcPr>
          <w:p w14:paraId="1B3B20E0" w14:textId="100D3BC4"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4668E560" w14:textId="29ABBE6C"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41346FF6" w14:textId="23587480"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13B81347" w14:textId="767BC697"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17C83548" w14:textId="43ADD932"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76B0BE41" w14:textId="10A1B8BE"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757FBF2B" w14:textId="245726E8"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0.00%</w:t>
            </w:r>
          </w:p>
        </w:tc>
        <w:tc>
          <w:tcPr>
            <w:tcW w:w="865" w:type="dxa"/>
            <w:tcBorders>
              <w:top w:val="single" w:sz="6" w:space="0" w:color="BFBFBF" w:themeColor="background1" w:themeShade="BF"/>
              <w:bottom w:val="single" w:sz="6" w:space="0" w:color="BFBFBF" w:themeColor="background1" w:themeShade="BF"/>
            </w:tcBorders>
            <w:noWrap/>
            <w:vAlign w:val="center"/>
          </w:tcPr>
          <w:p w14:paraId="40D5C2B1" w14:textId="4B82AB92"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0.00%</w:t>
            </w:r>
          </w:p>
        </w:tc>
      </w:tr>
      <w:tr w:rsidR="008A1C11" w:rsidRPr="008E3944" w14:paraId="4A59E8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45B833DF" w14:textId="77777777" w:rsidR="008A1C11" w:rsidRPr="008E3944" w:rsidRDefault="008A1C11" w:rsidP="008A1C11">
            <w:r w:rsidRPr="00184DA0">
              <w:rPr>
                <w:sz w:val="15"/>
                <w:szCs w:val="15"/>
              </w:rPr>
              <w:t>On-costs – $</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46AAD48B" w14:textId="6565028E"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$9,409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2A8ACDE" w14:textId="5FE3CDE4"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$11,968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BFC885B" w14:textId="2E41E466"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$14,286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207DE61" w14:textId="33C65DA6"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$16,866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2EB087A" w14:textId="714C8F7C"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$21,418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DB116F8" w14:textId="5B625DFA"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$28,767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DCB2274" w14:textId="6852BAB8"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$28,597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4F58772" w14:textId="1364C5C6"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$39,357 </w:t>
            </w:r>
          </w:p>
        </w:tc>
      </w:tr>
      <w:tr w:rsidR="008A1C11" w:rsidRPr="008E3944" w14:paraId="194531BD"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764A5F28" w14:textId="77777777" w:rsidR="008A1C11" w:rsidRPr="008E3944" w:rsidRDefault="008A1C11" w:rsidP="008A1C11">
            <w:r w:rsidRPr="00184DA0">
              <w:rPr>
                <w:sz w:val="15"/>
                <w:szCs w:val="15"/>
              </w:rPr>
              <w:t>Operating costs</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1E317A2B" w14:textId="68C5F846"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B28882E" w14:textId="37D35DCD"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0CFD2E45" w14:textId="61142617"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7E4D3B9" w14:textId="65CE8B15"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09B450F" w14:textId="765C0079"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FB53D05" w14:textId="458E6B6A"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6F2CA3A" w14:textId="42EB9020"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7B44CBA3" w14:textId="25B596EA" w:rsidR="008A1C11" w:rsidRPr="002B1512" w:rsidRDefault="008A1C11" w:rsidP="008A1C1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CA1462">
              <w:rPr>
                <w:rFonts w:ascii="Arial" w:hAnsi="Arial" w:cs="Arial"/>
                <w:color w:val="000000"/>
                <w:sz w:val="15"/>
                <w:szCs w:val="15"/>
              </w:rPr>
              <w:t xml:space="preserve">$13,747 </w:t>
            </w:r>
          </w:p>
        </w:tc>
      </w:tr>
      <w:tr w:rsidR="008A1C11" w:rsidRPr="008E3944" w14:paraId="66A95C2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12" w:space="0" w:color="68CEF2" w:themeColor="accent2"/>
            </w:tcBorders>
            <w:noWrap/>
            <w:vAlign w:val="center"/>
            <w:hideMark/>
          </w:tcPr>
          <w:p w14:paraId="0E91ED84" w14:textId="77777777" w:rsidR="008A1C11" w:rsidRPr="008E3944" w:rsidRDefault="008A1C11" w:rsidP="008A1C11">
            <w:r>
              <w:rPr>
                <w:rFonts w:ascii="Arial" w:hAnsi="Arial" w:cs="Arial"/>
                <w:color w:val="000000"/>
                <w:sz w:val="15"/>
                <w:szCs w:val="15"/>
              </w:rPr>
              <w:t>Total standard cost</w:t>
            </w:r>
          </w:p>
        </w:tc>
        <w:tc>
          <w:tcPr>
            <w:tcW w:w="868" w:type="dxa"/>
            <w:tcBorders>
              <w:top w:val="single" w:sz="6" w:space="0" w:color="BFBFBF" w:themeColor="background1" w:themeShade="BF"/>
              <w:bottom w:val="single" w:sz="12" w:space="0" w:color="68CEF2" w:themeColor="accent2"/>
            </w:tcBorders>
            <w:noWrap/>
            <w:vAlign w:val="center"/>
            <w:hideMark/>
          </w:tcPr>
          <w:p w14:paraId="0F5189DE" w14:textId="7541DF5E" w:rsidR="008A1C11" w:rsidRPr="001350F6"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$106,066 </w:t>
            </w:r>
          </w:p>
        </w:tc>
        <w:tc>
          <w:tcPr>
            <w:tcW w:w="865" w:type="dxa"/>
            <w:tcBorders>
              <w:top w:val="single" w:sz="6" w:space="0" w:color="BFBFBF" w:themeColor="background1" w:themeShade="BF"/>
              <w:bottom w:val="single" w:sz="12" w:space="0" w:color="68CEF2" w:themeColor="accent2"/>
            </w:tcBorders>
            <w:noWrap/>
            <w:vAlign w:val="center"/>
            <w:hideMark/>
          </w:tcPr>
          <w:p w14:paraId="4622C3DE" w14:textId="2C3151E4" w:rsidR="008A1C11" w:rsidRPr="001350F6"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$131,164 </w:t>
            </w:r>
          </w:p>
        </w:tc>
        <w:tc>
          <w:tcPr>
            <w:tcW w:w="865" w:type="dxa"/>
            <w:tcBorders>
              <w:top w:val="single" w:sz="6" w:space="0" w:color="BFBFBF" w:themeColor="background1" w:themeShade="BF"/>
              <w:bottom w:val="single" w:sz="12" w:space="0" w:color="68CEF2" w:themeColor="accent2"/>
            </w:tcBorders>
            <w:noWrap/>
            <w:vAlign w:val="center"/>
            <w:hideMark/>
          </w:tcPr>
          <w:p w14:paraId="3EC0FAA8" w14:textId="440F2864" w:rsidR="008A1C11" w:rsidRPr="001350F6"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$153,909 </w:t>
            </w:r>
          </w:p>
        </w:tc>
        <w:tc>
          <w:tcPr>
            <w:tcW w:w="865" w:type="dxa"/>
            <w:tcBorders>
              <w:top w:val="single" w:sz="6" w:space="0" w:color="BFBFBF" w:themeColor="background1" w:themeShade="BF"/>
              <w:bottom w:val="single" w:sz="12" w:space="0" w:color="68CEF2" w:themeColor="accent2"/>
            </w:tcBorders>
            <w:noWrap/>
            <w:vAlign w:val="center"/>
            <w:hideMark/>
          </w:tcPr>
          <w:p w14:paraId="0C5CE529" w14:textId="57023B26" w:rsidR="008A1C11" w:rsidRPr="001350F6"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$180,943 </w:t>
            </w:r>
          </w:p>
        </w:tc>
        <w:tc>
          <w:tcPr>
            <w:tcW w:w="865" w:type="dxa"/>
            <w:tcBorders>
              <w:top w:val="single" w:sz="6" w:space="0" w:color="BFBFBF" w:themeColor="background1" w:themeShade="BF"/>
              <w:bottom w:val="single" w:sz="12" w:space="0" w:color="68CEF2" w:themeColor="accent2"/>
            </w:tcBorders>
            <w:noWrap/>
            <w:vAlign w:val="center"/>
            <w:hideMark/>
          </w:tcPr>
          <w:p w14:paraId="62D01F79" w14:textId="7044A495" w:rsidR="008A1C11" w:rsidRPr="001350F6"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$230,325 </w:t>
            </w:r>
          </w:p>
        </w:tc>
        <w:tc>
          <w:tcPr>
            <w:tcW w:w="865" w:type="dxa"/>
            <w:tcBorders>
              <w:top w:val="single" w:sz="6" w:space="0" w:color="BFBFBF" w:themeColor="background1" w:themeShade="BF"/>
              <w:bottom w:val="single" w:sz="12" w:space="0" w:color="68CEF2" w:themeColor="accent2"/>
            </w:tcBorders>
            <w:noWrap/>
            <w:vAlign w:val="center"/>
            <w:hideMark/>
          </w:tcPr>
          <w:p w14:paraId="65544D08" w14:textId="1A79CE03" w:rsidR="008A1C11" w:rsidRPr="001350F6"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$309,993 </w:t>
            </w:r>
          </w:p>
        </w:tc>
        <w:tc>
          <w:tcPr>
            <w:tcW w:w="865" w:type="dxa"/>
            <w:tcBorders>
              <w:top w:val="single" w:sz="6" w:space="0" w:color="BFBFBF" w:themeColor="background1" w:themeShade="BF"/>
              <w:bottom w:val="single" w:sz="12" w:space="0" w:color="68CEF2" w:themeColor="accent2"/>
            </w:tcBorders>
            <w:noWrap/>
            <w:vAlign w:val="center"/>
            <w:hideMark/>
          </w:tcPr>
          <w:p w14:paraId="6E1C1135" w14:textId="6C1893A6"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$325,312 </w:t>
            </w:r>
          </w:p>
        </w:tc>
        <w:tc>
          <w:tcPr>
            <w:tcW w:w="865" w:type="dxa"/>
            <w:tcBorders>
              <w:top w:val="single" w:sz="6" w:space="0" w:color="BFBFBF" w:themeColor="background1" w:themeShade="BF"/>
              <w:bottom w:val="single" w:sz="12" w:space="0" w:color="68CEF2" w:themeColor="accent2"/>
            </w:tcBorders>
            <w:noWrap/>
            <w:vAlign w:val="center"/>
            <w:hideMark/>
          </w:tcPr>
          <w:p w14:paraId="45CD0E46" w14:textId="4944AE15" w:rsidR="008A1C11" w:rsidRPr="002B1512" w:rsidRDefault="008A1C11" w:rsidP="008A1C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$442,543 </w:t>
            </w:r>
          </w:p>
        </w:tc>
      </w:tr>
    </w:tbl>
    <w:p w14:paraId="68FDEFFD" w14:textId="77777777" w:rsidR="00CA66E4" w:rsidRDefault="00CA66E4" w:rsidP="00CA66E4">
      <w:pPr>
        <w:pStyle w:val="Note"/>
      </w:pPr>
      <w:r>
        <w:t>Note:</w:t>
      </w:r>
    </w:p>
    <w:p w14:paraId="70ECA55C" w14:textId="77777777" w:rsidR="00CA66E4" w:rsidRDefault="00CA66E4" w:rsidP="00CA66E4">
      <w:pPr>
        <w:pStyle w:val="Note"/>
      </w:pPr>
      <w:r>
        <w:t>(a)</w:t>
      </w:r>
      <w:r>
        <w:tab/>
        <w:t xml:space="preserve">The mid salary point of salaries at 1 July 2027, per the 2024 VPS </w:t>
      </w:r>
      <w:proofErr w:type="gramStart"/>
      <w:r>
        <w:t>EBA</w:t>
      </w:r>
      <w:r w:rsidRPr="00EB549B">
        <w:t>..</w:t>
      </w:r>
      <w:proofErr w:type="gramEnd"/>
      <w:r>
        <w:t xml:space="preserve"> </w:t>
      </w:r>
    </w:p>
    <w:p w14:paraId="41909C34" w14:textId="77777777" w:rsidR="00CA66E4" w:rsidRDefault="00CA66E4" w:rsidP="00CA66E4">
      <w:pPr>
        <w:pStyle w:val="Note"/>
      </w:pPr>
      <w:r>
        <w:t>(b)   The mobility payment rates as per 1 July 2027, per the 2024 VPS EBA</w:t>
      </w:r>
      <w:r w:rsidRPr="00EB549B">
        <w:t>.</w:t>
      </w:r>
    </w:p>
    <w:p w14:paraId="777D76E5" w14:textId="77777777" w:rsidR="003911A1" w:rsidRDefault="003911A1" w:rsidP="003911A1"/>
    <w:tbl>
      <w:tblPr>
        <w:tblStyle w:val="DTFfinancialtable"/>
        <w:tblW w:w="5000" w:type="pct"/>
        <w:tblLayout w:type="fixed"/>
        <w:tblLook w:val="04A0" w:firstRow="1" w:lastRow="0" w:firstColumn="1" w:lastColumn="0" w:noHBand="0" w:noVBand="1"/>
      </w:tblPr>
      <w:tblGrid>
        <w:gridCol w:w="2103"/>
        <w:gridCol w:w="868"/>
        <w:gridCol w:w="865"/>
        <w:gridCol w:w="865"/>
        <w:gridCol w:w="865"/>
        <w:gridCol w:w="865"/>
        <w:gridCol w:w="865"/>
        <w:gridCol w:w="865"/>
        <w:gridCol w:w="865"/>
      </w:tblGrid>
      <w:tr w:rsidR="003911A1" w:rsidRPr="00682215" w14:paraId="7D84A0E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23473338" w14:textId="4FF59760" w:rsidR="003911A1" w:rsidRPr="00682215" w:rsidRDefault="003911A1">
            <w:r w:rsidRPr="00682215">
              <w:t xml:space="preserve">VPS staff – Commencing in </w:t>
            </w:r>
            <w:r w:rsidR="0074454E" w:rsidRPr="00682215">
              <w:t>202</w:t>
            </w:r>
            <w:r w:rsidR="0074454E">
              <w:t>8</w:t>
            </w:r>
            <w:r w:rsidR="0074454E" w:rsidRPr="00682215">
              <w:t>-2</w:t>
            </w:r>
            <w:r w:rsidR="0074454E">
              <w:t>9</w:t>
            </w:r>
            <w:r w:rsidR="0074454E" w:rsidRPr="00682215" w:rsidDel="0074454E">
              <w:t xml:space="preserve"> </w:t>
            </w:r>
            <w:r w:rsidRPr="00682215">
              <w:rPr>
                <w:vertAlign w:val="superscript"/>
              </w:rPr>
              <w:t>(a)</w:t>
            </w:r>
            <w:r>
              <w:rPr>
                <w:vertAlign w:val="superscript"/>
              </w:rPr>
              <w:t>(b)</w:t>
            </w:r>
          </w:p>
        </w:tc>
      </w:tr>
      <w:tr w:rsidR="003911A1" w:rsidRPr="00682215" w14:paraId="12BF3BD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03" w:type="dxa"/>
            <w:noWrap/>
            <w:hideMark/>
          </w:tcPr>
          <w:p w14:paraId="641E2C57" w14:textId="77777777" w:rsidR="003911A1" w:rsidRPr="00682215" w:rsidRDefault="003911A1">
            <w:r w:rsidRPr="00682215">
              <w:t> </w:t>
            </w:r>
          </w:p>
        </w:tc>
        <w:tc>
          <w:tcPr>
            <w:tcW w:w="868" w:type="dxa"/>
            <w:noWrap/>
            <w:hideMark/>
          </w:tcPr>
          <w:p w14:paraId="7497DED8"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2</w:t>
            </w:r>
          </w:p>
        </w:tc>
        <w:tc>
          <w:tcPr>
            <w:tcW w:w="865" w:type="dxa"/>
            <w:noWrap/>
            <w:hideMark/>
          </w:tcPr>
          <w:p w14:paraId="014CEB20"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3</w:t>
            </w:r>
          </w:p>
        </w:tc>
        <w:tc>
          <w:tcPr>
            <w:tcW w:w="865" w:type="dxa"/>
            <w:noWrap/>
            <w:hideMark/>
          </w:tcPr>
          <w:p w14:paraId="7EE4D867"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4</w:t>
            </w:r>
          </w:p>
        </w:tc>
        <w:tc>
          <w:tcPr>
            <w:tcW w:w="865" w:type="dxa"/>
            <w:noWrap/>
            <w:hideMark/>
          </w:tcPr>
          <w:p w14:paraId="2C4EE6F3"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5</w:t>
            </w:r>
          </w:p>
        </w:tc>
        <w:tc>
          <w:tcPr>
            <w:tcW w:w="865" w:type="dxa"/>
            <w:noWrap/>
            <w:hideMark/>
          </w:tcPr>
          <w:p w14:paraId="69FEBD22"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6</w:t>
            </w:r>
          </w:p>
        </w:tc>
        <w:tc>
          <w:tcPr>
            <w:tcW w:w="865" w:type="dxa"/>
            <w:noWrap/>
            <w:hideMark/>
          </w:tcPr>
          <w:p w14:paraId="6CAABEC7"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STS</w:t>
            </w:r>
          </w:p>
        </w:tc>
        <w:tc>
          <w:tcPr>
            <w:tcW w:w="865" w:type="dxa"/>
            <w:noWrap/>
            <w:hideMark/>
          </w:tcPr>
          <w:p w14:paraId="6D65DB0A"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65" w:type="dxa"/>
            <w:noWrap/>
            <w:hideMark/>
          </w:tcPr>
          <w:p w14:paraId="77910D7C"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SES-2</w:t>
            </w:r>
          </w:p>
        </w:tc>
      </w:tr>
      <w:tr w:rsidR="00DA3617" w:rsidRPr="00682215" w14:paraId="5B3BD6F1" w14:textId="77777777">
        <w:tc>
          <w:tcPr>
            <w:cnfStyle w:val="001000000000" w:firstRow="0" w:lastRow="0" w:firstColumn="1" w:lastColumn="0" w:oddVBand="0" w:evenVBand="0" w:oddHBand="0" w:evenHBand="0" w:firstRowFirstColumn="0" w:firstRowLastColumn="0" w:lastRowFirstColumn="0" w:lastRowLastColumn="0"/>
            <w:tcW w:w="2103" w:type="dxa"/>
            <w:tcBorders>
              <w:bottom w:val="single" w:sz="6" w:space="0" w:color="BFBFBF" w:themeColor="background1" w:themeShade="BF"/>
            </w:tcBorders>
            <w:noWrap/>
            <w:vAlign w:val="center"/>
            <w:hideMark/>
          </w:tcPr>
          <w:p w14:paraId="4D669ECF" w14:textId="227277C5" w:rsidR="00DA3617" w:rsidRPr="00682215" w:rsidRDefault="00DA3617" w:rsidP="00DA3617">
            <w:r>
              <w:rPr>
                <w:rFonts w:ascii="Arial" w:hAnsi="Arial" w:cs="Arial"/>
                <w:color w:val="000000"/>
                <w:sz w:val="15"/>
                <w:szCs w:val="15"/>
              </w:rPr>
              <w:t>2028-29 Mid Salary point</w:t>
            </w:r>
          </w:p>
        </w:tc>
        <w:tc>
          <w:tcPr>
            <w:tcW w:w="868" w:type="dxa"/>
            <w:tcBorders>
              <w:bottom w:val="single" w:sz="6" w:space="0" w:color="BFBFBF" w:themeColor="background1" w:themeShade="BF"/>
            </w:tcBorders>
            <w:noWrap/>
            <w:vAlign w:val="center"/>
            <w:hideMark/>
          </w:tcPr>
          <w:p w14:paraId="74E75BE3" w14:textId="70BE19D1"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$75,248 </w:t>
            </w:r>
          </w:p>
        </w:tc>
        <w:tc>
          <w:tcPr>
            <w:tcW w:w="865" w:type="dxa"/>
            <w:tcBorders>
              <w:bottom w:val="single" w:sz="6" w:space="0" w:color="BFBFBF" w:themeColor="background1" w:themeShade="BF"/>
            </w:tcBorders>
            <w:noWrap/>
            <w:vAlign w:val="center"/>
            <w:hideMark/>
          </w:tcPr>
          <w:p w14:paraId="6ABD1ADC" w14:textId="708C73D9"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$95,720 </w:t>
            </w:r>
          </w:p>
        </w:tc>
        <w:tc>
          <w:tcPr>
            <w:tcW w:w="865" w:type="dxa"/>
            <w:tcBorders>
              <w:bottom w:val="single" w:sz="6" w:space="0" w:color="BFBFBF" w:themeColor="background1" w:themeShade="BF"/>
            </w:tcBorders>
            <w:noWrap/>
            <w:vAlign w:val="center"/>
            <w:hideMark/>
          </w:tcPr>
          <w:p w14:paraId="73BC4C73" w14:textId="2E4914D6"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$114,243 </w:t>
            </w:r>
          </w:p>
        </w:tc>
        <w:tc>
          <w:tcPr>
            <w:tcW w:w="865" w:type="dxa"/>
            <w:tcBorders>
              <w:bottom w:val="single" w:sz="6" w:space="0" w:color="BFBFBF" w:themeColor="background1" w:themeShade="BF"/>
            </w:tcBorders>
            <w:noWrap/>
            <w:vAlign w:val="center"/>
            <w:hideMark/>
          </w:tcPr>
          <w:p w14:paraId="19CDD283" w14:textId="6EC0C644"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$136,464 </w:t>
            </w:r>
          </w:p>
        </w:tc>
        <w:tc>
          <w:tcPr>
            <w:tcW w:w="865" w:type="dxa"/>
            <w:tcBorders>
              <w:bottom w:val="single" w:sz="6" w:space="0" w:color="BFBFBF" w:themeColor="background1" w:themeShade="BF"/>
            </w:tcBorders>
            <w:noWrap/>
            <w:vAlign w:val="center"/>
            <w:hideMark/>
          </w:tcPr>
          <w:p w14:paraId="0811B373" w14:textId="61A0B58A"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$177,104 </w:t>
            </w:r>
          </w:p>
        </w:tc>
        <w:tc>
          <w:tcPr>
            <w:tcW w:w="865" w:type="dxa"/>
            <w:tcBorders>
              <w:bottom w:val="single" w:sz="6" w:space="0" w:color="BFBFBF" w:themeColor="background1" w:themeShade="BF"/>
            </w:tcBorders>
            <w:noWrap/>
            <w:vAlign w:val="center"/>
            <w:hideMark/>
          </w:tcPr>
          <w:p w14:paraId="2A1DFDAC" w14:textId="46364CFB"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$242,796 </w:t>
            </w:r>
          </w:p>
        </w:tc>
        <w:tc>
          <w:tcPr>
            <w:tcW w:w="865" w:type="dxa"/>
            <w:tcBorders>
              <w:bottom w:val="single" w:sz="6" w:space="0" w:color="BFBFBF" w:themeColor="background1" w:themeShade="BF"/>
            </w:tcBorders>
            <w:noWrap/>
            <w:vAlign w:val="center"/>
            <w:hideMark/>
          </w:tcPr>
          <w:p w14:paraId="5B99807B" w14:textId="1A93E26E"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$260,230 </w:t>
            </w:r>
          </w:p>
        </w:tc>
        <w:tc>
          <w:tcPr>
            <w:tcW w:w="865" w:type="dxa"/>
            <w:tcBorders>
              <w:bottom w:val="single" w:sz="6" w:space="0" w:color="BFBFBF" w:themeColor="background1" w:themeShade="BF"/>
            </w:tcBorders>
            <w:noWrap/>
            <w:vAlign w:val="center"/>
            <w:hideMark/>
          </w:tcPr>
          <w:p w14:paraId="2AE2D616" w14:textId="6C52D74F"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$358,144 </w:t>
            </w:r>
          </w:p>
        </w:tc>
      </w:tr>
      <w:tr w:rsidR="00DA3617" w:rsidRPr="00682215" w14:paraId="1CD5622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21B1CA4C" w14:textId="77777777" w:rsidR="00DA3617" w:rsidRPr="00682215" w:rsidRDefault="00DA3617" w:rsidP="00DA3617">
            <w:r w:rsidRPr="00184DA0">
              <w:rPr>
                <w:sz w:val="15"/>
                <w:szCs w:val="15"/>
              </w:rPr>
              <w:t xml:space="preserve">Mobility payment </w:t>
            </w:r>
          </w:p>
        </w:tc>
        <w:tc>
          <w:tcPr>
            <w:tcW w:w="868" w:type="dxa"/>
            <w:tcBorders>
              <w:top w:val="single" w:sz="6" w:space="0" w:color="BFBFBF" w:themeColor="background1" w:themeShade="BF"/>
              <w:bottom w:val="single" w:sz="6" w:space="0" w:color="BFBFBF" w:themeColor="background1" w:themeShade="BF"/>
            </w:tcBorders>
            <w:noWrap/>
            <w:vAlign w:val="center"/>
          </w:tcPr>
          <w:p w14:paraId="3CAA8AEB" w14:textId="16B52836"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$999 </w:t>
            </w:r>
          </w:p>
        </w:tc>
        <w:tc>
          <w:tcPr>
            <w:tcW w:w="865" w:type="dxa"/>
            <w:tcBorders>
              <w:top w:val="single" w:sz="6" w:space="0" w:color="BFBFBF" w:themeColor="background1" w:themeShade="BF"/>
              <w:bottom w:val="single" w:sz="6" w:space="0" w:color="BFBFBF" w:themeColor="background1" w:themeShade="BF"/>
            </w:tcBorders>
            <w:noWrap/>
            <w:vAlign w:val="center"/>
          </w:tcPr>
          <w:p w14:paraId="75A033E2" w14:textId="194EEB54"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$1,255 </w:t>
            </w:r>
          </w:p>
        </w:tc>
        <w:tc>
          <w:tcPr>
            <w:tcW w:w="865" w:type="dxa"/>
            <w:tcBorders>
              <w:top w:val="single" w:sz="6" w:space="0" w:color="BFBFBF" w:themeColor="background1" w:themeShade="BF"/>
              <w:bottom w:val="single" w:sz="6" w:space="0" w:color="BFBFBF" w:themeColor="background1" w:themeShade="BF"/>
            </w:tcBorders>
            <w:noWrap/>
            <w:vAlign w:val="center"/>
          </w:tcPr>
          <w:p w14:paraId="1DF34F21" w14:textId="22C9F234"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$1,518 </w:t>
            </w:r>
          </w:p>
        </w:tc>
        <w:tc>
          <w:tcPr>
            <w:tcW w:w="865" w:type="dxa"/>
            <w:tcBorders>
              <w:top w:val="single" w:sz="6" w:space="0" w:color="BFBFBF" w:themeColor="background1" w:themeShade="BF"/>
              <w:bottom w:val="single" w:sz="6" w:space="0" w:color="BFBFBF" w:themeColor="background1" w:themeShade="BF"/>
            </w:tcBorders>
            <w:noWrap/>
            <w:vAlign w:val="center"/>
          </w:tcPr>
          <w:p w14:paraId="1A2F595E" w14:textId="28EF54DA"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$1,787 </w:t>
            </w:r>
          </w:p>
        </w:tc>
        <w:tc>
          <w:tcPr>
            <w:tcW w:w="865" w:type="dxa"/>
            <w:tcBorders>
              <w:top w:val="single" w:sz="6" w:space="0" w:color="BFBFBF" w:themeColor="background1" w:themeShade="BF"/>
              <w:bottom w:val="single" w:sz="6" w:space="0" w:color="BFBFBF" w:themeColor="background1" w:themeShade="BF"/>
            </w:tcBorders>
            <w:noWrap/>
            <w:vAlign w:val="center"/>
          </w:tcPr>
          <w:p w14:paraId="25841D5A" w14:textId="62920A89"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$2,374 </w:t>
            </w:r>
          </w:p>
        </w:tc>
        <w:tc>
          <w:tcPr>
            <w:tcW w:w="865" w:type="dxa"/>
            <w:tcBorders>
              <w:top w:val="single" w:sz="6" w:space="0" w:color="BFBFBF" w:themeColor="background1" w:themeShade="BF"/>
              <w:bottom w:val="single" w:sz="6" w:space="0" w:color="BFBFBF" w:themeColor="background1" w:themeShade="BF"/>
            </w:tcBorders>
            <w:noWrap/>
            <w:vAlign w:val="center"/>
          </w:tcPr>
          <w:p w14:paraId="5866D3FF" w14:textId="507BA4B4"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$3,189 </w:t>
            </w:r>
          </w:p>
        </w:tc>
        <w:tc>
          <w:tcPr>
            <w:tcW w:w="865" w:type="dxa"/>
            <w:tcBorders>
              <w:top w:val="single" w:sz="6" w:space="0" w:color="BFBFBF" w:themeColor="background1" w:themeShade="BF"/>
              <w:bottom w:val="single" w:sz="6" w:space="0" w:color="BFBFBF" w:themeColor="background1" w:themeShade="BF"/>
            </w:tcBorders>
            <w:noWrap/>
            <w:vAlign w:val="center"/>
          </w:tcPr>
          <w:p w14:paraId="7BDFB05B" w14:textId="57BCAFAC"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$0 </w:t>
            </w:r>
          </w:p>
        </w:tc>
        <w:tc>
          <w:tcPr>
            <w:tcW w:w="865" w:type="dxa"/>
            <w:tcBorders>
              <w:top w:val="single" w:sz="6" w:space="0" w:color="BFBFBF" w:themeColor="background1" w:themeShade="BF"/>
              <w:bottom w:val="single" w:sz="6" w:space="0" w:color="BFBFBF" w:themeColor="background1" w:themeShade="BF"/>
            </w:tcBorders>
            <w:noWrap/>
            <w:vAlign w:val="center"/>
          </w:tcPr>
          <w:p w14:paraId="4F7D8147" w14:textId="776F12DF"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$0 </w:t>
            </w:r>
          </w:p>
        </w:tc>
      </w:tr>
      <w:tr w:rsidR="00DA3617" w:rsidRPr="00682215" w14:paraId="30ADB0A3"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41223D97" w14:textId="77777777" w:rsidR="00DA3617" w:rsidRPr="00682215" w:rsidRDefault="00DA3617" w:rsidP="00DA3617">
            <w:r w:rsidRPr="00184DA0">
              <w:rPr>
                <w:sz w:val="15"/>
                <w:szCs w:val="15"/>
              </w:rPr>
              <w:t>Superannuation</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59A1AD22" w14:textId="580D85A0" w:rsidR="00DA3617" w:rsidRPr="00045A8C"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$9,150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A7BE50B" w14:textId="20096FA4" w:rsidR="00DA3617" w:rsidRPr="00045A8C"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$11,637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E0E9BDA" w14:textId="2C8F4D4A" w:rsidR="00DA3617" w:rsidRPr="00045A8C"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$13,891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417DF7A0" w14:textId="297A1F47" w:rsidR="00DA3617" w:rsidRPr="00045A8C"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$16,590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89191AA" w14:textId="3994465A" w:rsidR="00DA3617" w:rsidRPr="00045A8C"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$21,537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38DE6C0" w14:textId="3BE73F22" w:rsidR="00DA3617" w:rsidRPr="00045A8C"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$29,518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5DA0BE0" w14:textId="10C896FD"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$31,228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90645B9" w14:textId="7730F248"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$42,977 </w:t>
            </w:r>
          </w:p>
        </w:tc>
      </w:tr>
      <w:tr w:rsidR="00DA3617" w:rsidRPr="00682215" w14:paraId="19D65D3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125E1C4F" w14:textId="77777777" w:rsidR="00DA3617" w:rsidRPr="00682215" w:rsidRDefault="00DA3617" w:rsidP="00DA3617">
            <w:r w:rsidRPr="00184DA0">
              <w:rPr>
                <w:sz w:val="15"/>
                <w:szCs w:val="15"/>
              </w:rPr>
              <w:t>Salary on-costs – Rate</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3F70B3ED" w14:textId="08D61605"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1B371E6" w14:textId="7449AC2E"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C25667D" w14:textId="25BE5FCA"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12.78%</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01D98C66" w14:textId="6C0506D9"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12.63%</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1EBE75F" w14:textId="09F96E66"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12.35%</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217D17A" w14:textId="4C980E1E"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12.10%</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06CBF503" w14:textId="5CBF6617"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11.32%</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98336B3" w14:textId="4B07F1B4"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11.32%</w:t>
            </w:r>
          </w:p>
        </w:tc>
      </w:tr>
      <w:tr w:rsidR="00DA3617" w:rsidRPr="00682215" w14:paraId="088CE866"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4FC338A3" w14:textId="77777777" w:rsidR="00DA3617" w:rsidRPr="00682215" w:rsidRDefault="00DA3617" w:rsidP="00DA3617">
            <w:r w:rsidRPr="00184DA0">
              <w:rPr>
                <w:sz w:val="15"/>
                <w:szCs w:val="15"/>
              </w:rPr>
              <w:t>Mobility on-cost – Rate</w:t>
            </w:r>
          </w:p>
        </w:tc>
        <w:tc>
          <w:tcPr>
            <w:tcW w:w="868" w:type="dxa"/>
            <w:tcBorders>
              <w:top w:val="single" w:sz="6" w:space="0" w:color="BFBFBF" w:themeColor="background1" w:themeShade="BF"/>
              <w:bottom w:val="single" w:sz="6" w:space="0" w:color="BFBFBF" w:themeColor="background1" w:themeShade="BF"/>
            </w:tcBorders>
            <w:noWrap/>
            <w:vAlign w:val="center"/>
          </w:tcPr>
          <w:p w14:paraId="0F609265" w14:textId="74E36483"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06DCE39E" w14:textId="754B532C"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6314DD58" w14:textId="47DCADF4"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327C549B" w14:textId="57B1BA41"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66C69DC4" w14:textId="550A0CF4"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6C9F51C6" w14:textId="6C875628"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7.87%</w:t>
            </w:r>
          </w:p>
        </w:tc>
        <w:tc>
          <w:tcPr>
            <w:tcW w:w="865" w:type="dxa"/>
            <w:tcBorders>
              <w:top w:val="single" w:sz="6" w:space="0" w:color="BFBFBF" w:themeColor="background1" w:themeShade="BF"/>
              <w:bottom w:val="single" w:sz="6" w:space="0" w:color="BFBFBF" w:themeColor="background1" w:themeShade="BF"/>
            </w:tcBorders>
            <w:noWrap/>
            <w:vAlign w:val="center"/>
          </w:tcPr>
          <w:p w14:paraId="37111683" w14:textId="2362306E"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0.00%</w:t>
            </w:r>
          </w:p>
        </w:tc>
        <w:tc>
          <w:tcPr>
            <w:tcW w:w="865" w:type="dxa"/>
            <w:tcBorders>
              <w:top w:val="single" w:sz="6" w:space="0" w:color="BFBFBF" w:themeColor="background1" w:themeShade="BF"/>
              <w:bottom w:val="single" w:sz="6" w:space="0" w:color="BFBFBF" w:themeColor="background1" w:themeShade="BF"/>
            </w:tcBorders>
            <w:noWrap/>
            <w:vAlign w:val="center"/>
          </w:tcPr>
          <w:p w14:paraId="2599638D" w14:textId="007BC9AA"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0.00%</w:t>
            </w:r>
          </w:p>
        </w:tc>
      </w:tr>
      <w:tr w:rsidR="00DA3617" w:rsidRPr="00682215" w14:paraId="0BECA9C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20BC522B" w14:textId="77777777" w:rsidR="00DA3617" w:rsidRPr="00682215" w:rsidRDefault="00DA3617" w:rsidP="00DA3617">
            <w:r w:rsidRPr="00184DA0">
              <w:rPr>
                <w:sz w:val="15"/>
                <w:szCs w:val="15"/>
              </w:rPr>
              <w:t>On-costs – $</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73A90F8A" w14:textId="062854A1"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$9,692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7C60BC2" w14:textId="14E4467A"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$12,327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43BDD73C" w14:textId="5AE71AA6"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$14,714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4F6F6C1" w14:textId="167979C5"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$17,371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716541C5" w14:textId="72A8284C"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$22,061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49925D7" w14:textId="0AD9D64A"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$29,630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24D8BF0" w14:textId="2E8D1812"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$29,455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43FE4011" w14:textId="37D074BF"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$40,538 </w:t>
            </w:r>
          </w:p>
        </w:tc>
      </w:tr>
      <w:tr w:rsidR="00DA3617" w:rsidRPr="00682215" w14:paraId="32F2A7E9"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113972A9" w14:textId="77777777" w:rsidR="00DA3617" w:rsidRPr="00682215" w:rsidRDefault="00DA3617" w:rsidP="00DA3617">
            <w:r w:rsidRPr="00184DA0">
              <w:rPr>
                <w:sz w:val="15"/>
                <w:szCs w:val="15"/>
              </w:rPr>
              <w:t>Operating costs</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63F0888C" w14:textId="663F8572"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DB343D2" w14:textId="7534D0D1"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013D846B" w14:textId="076F3FCB"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00DA808" w14:textId="03CFBEE4"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6F4065D" w14:textId="366DF4FC"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AA4D964" w14:textId="2827DEEB"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134AAFC" w14:textId="333CF8FE"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C90329E" w14:textId="699735C8" w:rsidR="00DA3617" w:rsidRPr="002B1512" w:rsidRDefault="00DA3617" w:rsidP="00DA36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Del="00371452">
              <w:rPr>
                <w:rFonts w:ascii="Arial" w:hAnsi="Arial" w:cs="Arial"/>
                <w:color w:val="000000"/>
                <w:sz w:val="15"/>
                <w:szCs w:val="15"/>
              </w:rPr>
              <w:t xml:space="preserve">$13,747 </w:t>
            </w:r>
          </w:p>
        </w:tc>
      </w:tr>
      <w:tr w:rsidR="00DA3617" w:rsidRPr="00682215" w14:paraId="6E41D79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12" w:space="0" w:color="68CEF2" w:themeColor="accent2"/>
            </w:tcBorders>
            <w:noWrap/>
            <w:vAlign w:val="center"/>
            <w:hideMark/>
          </w:tcPr>
          <w:p w14:paraId="222062EF" w14:textId="77777777" w:rsidR="00DA3617" w:rsidRPr="00682215" w:rsidRDefault="00DA3617" w:rsidP="00DA3617">
            <w:r>
              <w:rPr>
                <w:rFonts w:ascii="Arial" w:hAnsi="Arial" w:cs="Arial"/>
                <w:color w:val="000000"/>
                <w:sz w:val="15"/>
                <w:szCs w:val="15"/>
              </w:rPr>
              <w:t>Total standard cost</w:t>
            </w:r>
          </w:p>
        </w:tc>
        <w:tc>
          <w:tcPr>
            <w:tcW w:w="868" w:type="dxa"/>
            <w:tcBorders>
              <w:top w:val="single" w:sz="6" w:space="0" w:color="BFBFBF" w:themeColor="background1" w:themeShade="BF"/>
              <w:bottom w:val="single" w:sz="12" w:space="0" w:color="68CEF2" w:themeColor="accent2"/>
            </w:tcBorders>
            <w:noWrap/>
            <w:vAlign w:val="center"/>
            <w:hideMark/>
          </w:tcPr>
          <w:p w14:paraId="4F803F61" w14:textId="18A0D3B4" w:rsidR="00DA3617" w:rsidRPr="005F0018"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$108,836 </w:t>
            </w:r>
          </w:p>
        </w:tc>
        <w:tc>
          <w:tcPr>
            <w:tcW w:w="865" w:type="dxa"/>
            <w:tcBorders>
              <w:top w:val="single" w:sz="6" w:space="0" w:color="BFBFBF" w:themeColor="background1" w:themeShade="BF"/>
              <w:bottom w:val="single" w:sz="12" w:space="0" w:color="68CEF2" w:themeColor="accent2"/>
            </w:tcBorders>
            <w:noWrap/>
            <w:vAlign w:val="center"/>
            <w:hideMark/>
          </w:tcPr>
          <w:p w14:paraId="060C588D" w14:textId="4D685D13" w:rsidR="00DA3617" w:rsidRPr="005F0018"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$134,686 </w:t>
            </w:r>
          </w:p>
        </w:tc>
        <w:tc>
          <w:tcPr>
            <w:tcW w:w="865" w:type="dxa"/>
            <w:tcBorders>
              <w:top w:val="single" w:sz="6" w:space="0" w:color="BFBFBF" w:themeColor="background1" w:themeShade="BF"/>
              <w:bottom w:val="single" w:sz="12" w:space="0" w:color="68CEF2" w:themeColor="accent2"/>
            </w:tcBorders>
            <w:noWrap/>
            <w:vAlign w:val="center"/>
            <w:hideMark/>
          </w:tcPr>
          <w:p w14:paraId="22ADCF06" w14:textId="731F1C25" w:rsidR="00DA3617" w:rsidRPr="005F0018"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$158,114 </w:t>
            </w:r>
          </w:p>
        </w:tc>
        <w:tc>
          <w:tcPr>
            <w:tcW w:w="865" w:type="dxa"/>
            <w:tcBorders>
              <w:top w:val="single" w:sz="6" w:space="0" w:color="BFBFBF" w:themeColor="background1" w:themeShade="BF"/>
              <w:bottom w:val="single" w:sz="12" w:space="0" w:color="68CEF2" w:themeColor="accent2"/>
            </w:tcBorders>
            <w:noWrap/>
            <w:vAlign w:val="center"/>
            <w:hideMark/>
          </w:tcPr>
          <w:p w14:paraId="00EBDCB2" w14:textId="029CE268" w:rsidR="00DA3617" w:rsidRPr="005F0018"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$185,959 </w:t>
            </w:r>
          </w:p>
        </w:tc>
        <w:tc>
          <w:tcPr>
            <w:tcW w:w="865" w:type="dxa"/>
            <w:tcBorders>
              <w:top w:val="single" w:sz="6" w:space="0" w:color="BFBFBF" w:themeColor="background1" w:themeShade="BF"/>
              <w:bottom w:val="single" w:sz="12" w:space="0" w:color="68CEF2" w:themeColor="accent2"/>
            </w:tcBorders>
            <w:noWrap/>
            <w:vAlign w:val="center"/>
            <w:hideMark/>
          </w:tcPr>
          <w:p w14:paraId="737E3F06" w14:textId="3680EABF" w:rsidR="00DA3617" w:rsidRPr="005F0018"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$236,823 </w:t>
            </w:r>
          </w:p>
        </w:tc>
        <w:tc>
          <w:tcPr>
            <w:tcW w:w="865" w:type="dxa"/>
            <w:tcBorders>
              <w:top w:val="single" w:sz="6" w:space="0" w:color="BFBFBF" w:themeColor="background1" w:themeShade="BF"/>
              <w:bottom w:val="single" w:sz="12" w:space="0" w:color="68CEF2" w:themeColor="accent2"/>
            </w:tcBorders>
            <w:noWrap/>
            <w:vAlign w:val="center"/>
            <w:hideMark/>
          </w:tcPr>
          <w:p w14:paraId="4D44C962" w14:textId="660B03AE" w:rsidR="00DA3617" w:rsidRPr="005F0018"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$318,880 </w:t>
            </w:r>
          </w:p>
        </w:tc>
        <w:tc>
          <w:tcPr>
            <w:tcW w:w="865" w:type="dxa"/>
            <w:tcBorders>
              <w:top w:val="single" w:sz="6" w:space="0" w:color="BFBFBF" w:themeColor="background1" w:themeShade="BF"/>
              <w:bottom w:val="single" w:sz="12" w:space="0" w:color="68CEF2" w:themeColor="accent2"/>
            </w:tcBorders>
            <w:noWrap/>
            <w:vAlign w:val="center"/>
            <w:hideMark/>
          </w:tcPr>
          <w:p w14:paraId="62EE91E3" w14:textId="7AE6C304"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$334,659 </w:t>
            </w:r>
          </w:p>
        </w:tc>
        <w:tc>
          <w:tcPr>
            <w:tcW w:w="865" w:type="dxa"/>
            <w:tcBorders>
              <w:top w:val="single" w:sz="6" w:space="0" w:color="BFBFBF" w:themeColor="background1" w:themeShade="BF"/>
              <w:bottom w:val="single" w:sz="12" w:space="0" w:color="68CEF2" w:themeColor="accent2"/>
            </w:tcBorders>
            <w:noWrap/>
            <w:vAlign w:val="center"/>
            <w:hideMark/>
          </w:tcPr>
          <w:p w14:paraId="755F90C5" w14:textId="1755B2E7" w:rsidR="00DA3617" w:rsidRPr="002B1512" w:rsidRDefault="00DA3617" w:rsidP="00DA3617">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$455,407 </w:t>
            </w:r>
          </w:p>
        </w:tc>
      </w:tr>
    </w:tbl>
    <w:p w14:paraId="54EC3737" w14:textId="77777777" w:rsidR="00630E00" w:rsidRPr="00682215" w:rsidRDefault="00630E00" w:rsidP="00630E00">
      <w:pPr>
        <w:pStyle w:val="Note"/>
      </w:pPr>
      <w:r w:rsidRPr="00682215">
        <w:t>Note:</w:t>
      </w:r>
    </w:p>
    <w:p w14:paraId="050F2C86" w14:textId="77777777" w:rsidR="00630E00" w:rsidRDefault="00630E00" w:rsidP="00630E00">
      <w:pPr>
        <w:pStyle w:val="Note"/>
      </w:pPr>
      <w:r>
        <w:t>(a)</w:t>
      </w:r>
      <w:r>
        <w:tab/>
        <w:t>3.0</w:t>
      </w:r>
      <w:r w:rsidRPr="002337CA">
        <w:t xml:space="preserve"> per cent growth has been assumed for 202</w:t>
      </w:r>
      <w:r>
        <w:t>8</w:t>
      </w:r>
      <w:r w:rsidRPr="002337CA">
        <w:t>-2</w:t>
      </w:r>
      <w:r>
        <w:t>9</w:t>
      </w:r>
      <w:r w:rsidRPr="002337CA">
        <w:t xml:space="preserve"> salaries</w:t>
      </w:r>
      <w:r>
        <w:t xml:space="preserve"> </w:t>
      </w:r>
      <w:bookmarkStart w:id="2" w:name="_Hlk175062857"/>
      <w:r>
        <w:t>in line with the Government’s current Wages Policy.</w:t>
      </w:r>
      <w:bookmarkEnd w:id="2"/>
      <w:r>
        <w:t xml:space="preserve"> </w:t>
      </w:r>
    </w:p>
    <w:p w14:paraId="322BC79A" w14:textId="77777777" w:rsidR="00630E00" w:rsidRDefault="00630E00" w:rsidP="00630E00">
      <w:pPr>
        <w:pStyle w:val="Note"/>
      </w:pPr>
      <w:r>
        <w:t xml:space="preserve">(b)  3.0 per cent growth has been applied to the mobility payment as per 1 July 2027 to reflect the growth in salaries. </w:t>
      </w:r>
    </w:p>
    <w:p w14:paraId="44DFE25A" w14:textId="77777777" w:rsidR="003911A1" w:rsidRDefault="003911A1" w:rsidP="003911A1">
      <w:pPr>
        <w:pStyle w:val="Note"/>
      </w:pPr>
    </w:p>
    <w:p w14:paraId="5BFB5F99" w14:textId="77777777" w:rsidR="003911A1" w:rsidRDefault="003911A1" w:rsidP="003911A1">
      <w:pPr>
        <w:pStyle w:val="Heading2"/>
      </w:pPr>
      <w:r>
        <w:t>Notes to the Standard costing model for VPS staff</w:t>
      </w:r>
    </w:p>
    <w:p w14:paraId="558F66AB" w14:textId="77777777" w:rsidR="003911A1" w:rsidRDefault="003911A1" w:rsidP="003911A1">
      <w:pPr>
        <w:keepNext/>
      </w:pPr>
      <w:r>
        <w:t>The standard costing model is based on the following assumptions.</w:t>
      </w:r>
    </w:p>
    <w:p w14:paraId="79629226" w14:textId="77777777" w:rsidR="003911A1" w:rsidRDefault="003911A1" w:rsidP="003911A1">
      <w:pPr>
        <w:pStyle w:val="Heading3"/>
      </w:pPr>
      <w:r>
        <w:t>Salary</w:t>
      </w:r>
    </w:p>
    <w:p w14:paraId="0EF99395" w14:textId="77777777" w:rsidR="00D965D5" w:rsidRDefault="00D965D5" w:rsidP="00D965D5">
      <w:pPr>
        <w:pStyle w:val="ListBullet"/>
      </w:pPr>
      <w:r>
        <w:t xml:space="preserve">VPS staff are employed at the salary mid-point for their respective VPS grade, in line with the </w:t>
      </w:r>
      <w:bookmarkStart w:id="3" w:name="_Hlk175062211"/>
      <w:r w:rsidRPr="00D92833">
        <w:t>Victorian Public Service Enterprise Agreement 2024</w:t>
      </w:r>
      <w:bookmarkEnd w:id="3"/>
      <w:r>
        <w:t xml:space="preserve"> </w:t>
      </w:r>
      <w:r w:rsidRPr="00233508">
        <w:t>(VPS EBA 2024)</w:t>
      </w:r>
      <w:r w:rsidRPr="00D92833">
        <w:t>.</w:t>
      </w:r>
    </w:p>
    <w:p w14:paraId="2CD30254" w14:textId="77777777" w:rsidR="004B14CB" w:rsidRDefault="004B14CB" w:rsidP="004B14CB">
      <w:pPr>
        <w:pStyle w:val="ListBullet"/>
      </w:pPr>
      <w:r w:rsidRPr="00233508">
        <w:t>Salary growth rate of 3.0 per cent has been applied in 2028-29, in line with the Government's current Wages Policy.</w:t>
      </w:r>
    </w:p>
    <w:p w14:paraId="2AA5742B" w14:textId="77777777" w:rsidR="00C36F4A" w:rsidRDefault="00C36F4A" w:rsidP="00C36F4A">
      <w:pPr>
        <w:pStyle w:val="ListBullet"/>
      </w:pPr>
      <w:r w:rsidRPr="00233508">
        <w:t>The limited cash payment is not included in the costing model due to employment on 28</w:t>
      </w:r>
      <w:r>
        <w:t> </w:t>
      </w:r>
      <w:r w:rsidRPr="00233508">
        <w:t>June</w:t>
      </w:r>
      <w:r>
        <w:t> </w:t>
      </w:r>
      <w:r w:rsidRPr="00233508">
        <w:t>2024 eligibility criteria.</w:t>
      </w:r>
    </w:p>
    <w:p w14:paraId="5114B9B9" w14:textId="77777777" w:rsidR="001C74FD" w:rsidRDefault="001C74FD" w:rsidP="001C74FD">
      <w:pPr>
        <w:pStyle w:val="ListBullet"/>
      </w:pPr>
      <w:r w:rsidRPr="00233508">
        <w:t>Executive Officer (EO) total remuneration package (TRP) is based on the midpoint TRP for the relevant classification effective from 1 July 2024, as advised by the Victorian Public Sector Commission.</w:t>
      </w:r>
    </w:p>
    <w:p w14:paraId="0A271FDB" w14:textId="77777777" w:rsidR="00B65110" w:rsidRDefault="00B65110" w:rsidP="00B65110">
      <w:pPr>
        <w:pStyle w:val="ListBullet"/>
      </w:pPr>
      <w:r>
        <w:t xml:space="preserve">3.0 per cent growth has been assumed to the Executive officer TRP in </w:t>
      </w:r>
      <w:bookmarkStart w:id="4" w:name="_Hlk175063050"/>
      <w:r>
        <w:t xml:space="preserve">line with the </w:t>
      </w:r>
      <w:bookmarkEnd w:id="4"/>
      <w:r>
        <w:t>Government current wages policy.</w:t>
      </w:r>
    </w:p>
    <w:p w14:paraId="17E3105D" w14:textId="77777777" w:rsidR="004B14CB" w:rsidRDefault="004B14CB" w:rsidP="00827680">
      <w:pPr>
        <w:pStyle w:val="ListBullet"/>
        <w:numPr>
          <w:ilvl w:val="0"/>
          <w:numId w:val="0"/>
        </w:numPr>
        <w:ind w:left="284"/>
      </w:pPr>
    </w:p>
    <w:p w14:paraId="4A388680" w14:textId="77777777" w:rsidR="003911A1" w:rsidRDefault="003911A1" w:rsidP="003911A1">
      <w:pPr>
        <w:pStyle w:val="Heading3"/>
      </w:pPr>
      <w:r>
        <w:t>Mobility payments</w:t>
      </w:r>
    </w:p>
    <w:p w14:paraId="758CA76D" w14:textId="504495D0" w:rsidR="003911A1" w:rsidRDefault="003911A1" w:rsidP="003911A1">
      <w:pPr>
        <w:pStyle w:val="ListBullet"/>
      </w:pPr>
      <w:r>
        <w:t xml:space="preserve">No payment is included for </w:t>
      </w:r>
      <w:r w:rsidR="00BC0E4C">
        <w:t xml:space="preserve">2024-25 </w:t>
      </w:r>
      <w:r>
        <w:t>reflecting the assumption that new employees have not commenced at the time of payment (</w:t>
      </w:r>
      <w:r w:rsidR="005D4E93">
        <w:t>1 July 2024</w:t>
      </w:r>
      <w:r>
        <w:t>).</w:t>
      </w:r>
    </w:p>
    <w:p w14:paraId="2FFFF304" w14:textId="77777777" w:rsidR="003911A1" w:rsidRDefault="003911A1" w:rsidP="003911A1">
      <w:pPr>
        <w:pStyle w:val="ListBullet"/>
        <w:rPr>
          <w:color w:val="auto"/>
        </w:rPr>
      </w:pPr>
      <w:r>
        <w:t>Based on the payment for an employee employed at the mid-point of their respective VPS Grade.</w:t>
      </w:r>
    </w:p>
    <w:p w14:paraId="0E3B32E7" w14:textId="77777777" w:rsidR="00067977" w:rsidRPr="00A22525" w:rsidRDefault="00067977" w:rsidP="00067977">
      <w:pPr>
        <w:pStyle w:val="ListBullet"/>
      </w:pPr>
      <w:r>
        <w:t>3.0 per cent growth has been assumed to the mobility payment rates to reflect the growth in salaries and conditions in 2028-29.</w:t>
      </w:r>
    </w:p>
    <w:p w14:paraId="5DC64AD1" w14:textId="77777777" w:rsidR="003911A1" w:rsidRDefault="003911A1" w:rsidP="003911A1">
      <w:pPr>
        <w:pStyle w:val="Heading3"/>
      </w:pPr>
      <w:r>
        <w:t>Superannuation</w:t>
      </w:r>
    </w:p>
    <w:p w14:paraId="332F2898" w14:textId="77777777" w:rsidR="0033693E" w:rsidRDefault="0033693E" w:rsidP="0033693E">
      <w:pPr>
        <w:pStyle w:val="ListBullet"/>
      </w:pPr>
      <w:r>
        <w:t>Calculated at 11.5 per cent for 2024-25 and 12 per cent from 2025-26 respectively to reflect the legislated increases in Superannuation Guarantee contributions.</w:t>
      </w:r>
    </w:p>
    <w:p w14:paraId="4878F55E" w14:textId="77777777" w:rsidR="003911A1" w:rsidRDefault="003911A1" w:rsidP="003911A1">
      <w:pPr>
        <w:pStyle w:val="Heading3"/>
      </w:pPr>
      <w:r>
        <w:t>Salary on-costs</w:t>
      </w:r>
    </w:p>
    <w:p w14:paraId="6369FF5F" w14:textId="77777777" w:rsidR="003911A1" w:rsidRDefault="003911A1" w:rsidP="003911A1">
      <w:pPr>
        <w:pStyle w:val="ListBullet"/>
      </w:pPr>
      <w:r>
        <w:t>Salary on-costs are calculated as a percentage of the salary to be paid and are based on the following assumptions (per year):</w:t>
      </w:r>
    </w:p>
    <w:p w14:paraId="7476D2C0" w14:textId="5D0BF28A" w:rsidR="003911A1" w:rsidRDefault="003911A1" w:rsidP="003911A1">
      <w:pPr>
        <w:pStyle w:val="ListBullet2"/>
      </w:pPr>
      <w:r>
        <w:t xml:space="preserve">the state government administration </w:t>
      </w:r>
      <w:proofErr w:type="spellStart"/>
      <w:r>
        <w:t>WorkCover</w:t>
      </w:r>
      <w:proofErr w:type="spellEnd"/>
      <w:r>
        <w:t xml:space="preserve"> premium rate is </w:t>
      </w:r>
      <w:r w:rsidR="009210BD">
        <w:t xml:space="preserve">1.024 </w:t>
      </w:r>
      <w:r>
        <w:t xml:space="preserve">per cent of rateable remuneration and is based on the industry rates published on the WorkSafe Victoria website. The </w:t>
      </w:r>
      <w:proofErr w:type="spellStart"/>
      <w:r>
        <w:t>WorkCover</w:t>
      </w:r>
      <w:proofErr w:type="spellEnd"/>
      <w:r>
        <w:t xml:space="preserve"> premium rate is applied to wages,</w:t>
      </w:r>
      <w:r w:rsidR="00F367F5">
        <w:t xml:space="preserve"> </w:t>
      </w:r>
      <w:r w:rsidR="00B52359">
        <w:t>allowances,</w:t>
      </w:r>
      <w:r>
        <w:t xml:space="preserve"> superannuation and leave loading</w:t>
      </w:r>
    </w:p>
    <w:p w14:paraId="0D7FF787" w14:textId="1BD06FD6" w:rsidR="003911A1" w:rsidRDefault="003911A1" w:rsidP="003911A1">
      <w:pPr>
        <w:pStyle w:val="ListBullet2"/>
      </w:pPr>
      <w:r>
        <w:t xml:space="preserve">the payroll tax rate is 4.85 per cent of taxable wages, 1 per cent has been added for the mental health and wellbeing surcharge and a further 1 per cent for the COVID-19 debt temporary payroll tax surcharge. This is applied to wages, </w:t>
      </w:r>
      <w:r w:rsidR="00495E6E">
        <w:t xml:space="preserve">allowances, </w:t>
      </w:r>
      <w:r>
        <w:t>superannuation and leave loading</w:t>
      </w:r>
    </w:p>
    <w:p w14:paraId="0147BF8D" w14:textId="5583E617" w:rsidR="003911A1" w:rsidRDefault="003911A1" w:rsidP="003911A1">
      <w:pPr>
        <w:pStyle w:val="ListBullet2"/>
      </w:pPr>
      <w:r>
        <w:t>recreation leave loading at the rate of 17.5 per cent of salary for four weeks annual leave, capped at the VPS 4 level</w:t>
      </w:r>
    </w:p>
    <w:p w14:paraId="388C3EF8" w14:textId="77777777" w:rsidR="003911A1" w:rsidRDefault="003911A1" w:rsidP="003911A1">
      <w:pPr>
        <w:pStyle w:val="ListBullet2"/>
      </w:pPr>
      <w:r>
        <w:t xml:space="preserve">long service leave provision has been calculated at the rate of 2.5 per cent. </w:t>
      </w:r>
    </w:p>
    <w:p w14:paraId="77587327" w14:textId="77777777" w:rsidR="003911A1" w:rsidRPr="008507D3" w:rsidRDefault="003911A1" w:rsidP="003911A1">
      <w:pPr>
        <w:pStyle w:val="ListBullet"/>
        <w:rPr>
          <w:rFonts w:asciiTheme="majorHAnsi" w:eastAsiaTheme="majorEastAsia" w:hAnsiTheme="majorHAnsi" w:cstheme="majorBidi"/>
          <w:b/>
          <w:bCs/>
          <w:color w:val="3A3467" w:themeColor="text2"/>
          <w:sz w:val="24"/>
          <w:szCs w:val="24"/>
        </w:rPr>
      </w:pPr>
      <w:r>
        <w:t xml:space="preserve">The salary on-costs may be adjusted where an initiative requires employment of a specialist workforce where the average on-costs for this workforce vary materially to the on-cost rates above. For example, the on-costs could be amended where the </w:t>
      </w:r>
      <w:proofErr w:type="spellStart"/>
      <w:r>
        <w:t>WorkCover</w:t>
      </w:r>
      <w:proofErr w:type="spellEnd"/>
      <w:r>
        <w:t xml:space="preserve"> premium rate paid in relation to this workforce significantly exceeds the average rate, or where the nature of the workforce requires significant use of penalty rates.</w:t>
      </w:r>
    </w:p>
    <w:p w14:paraId="17469A47" w14:textId="77777777" w:rsidR="003911A1" w:rsidRDefault="003911A1" w:rsidP="003911A1">
      <w:pPr>
        <w:pStyle w:val="Heading3"/>
      </w:pPr>
      <w:r>
        <w:t>Operating costs</w:t>
      </w:r>
    </w:p>
    <w:p w14:paraId="0A995A0E" w14:textId="77777777" w:rsidR="003911A1" w:rsidRDefault="003911A1" w:rsidP="003911A1">
      <w:pPr>
        <w:pStyle w:val="ListBullet"/>
      </w:pPr>
      <w:r>
        <w:t>Operating costs include an estimated average allowance for stationery, telephones, printing, training etc. and includes the metropolitan Cenitex charge for the provision of a single PC.</w:t>
      </w:r>
    </w:p>
    <w:p w14:paraId="382090C5" w14:textId="77777777" w:rsidR="003911A1" w:rsidRDefault="003911A1" w:rsidP="003911A1">
      <w:pPr>
        <w:pStyle w:val="ListBullet"/>
      </w:pPr>
      <w:r>
        <w:t xml:space="preserve">The operating costs do not include any of the following costs as additional expenditure should not be incurred for </w:t>
      </w:r>
      <w:proofErr w:type="gramStart"/>
      <w:r>
        <w:t>the majority of</w:t>
      </w:r>
      <w:proofErr w:type="gramEnd"/>
      <w:r>
        <w:t xml:space="preserve"> positions:</w:t>
      </w:r>
    </w:p>
    <w:p w14:paraId="545EAC8F" w14:textId="68DBFDA4" w:rsidR="003911A1" w:rsidRDefault="00345F35" w:rsidP="003911A1">
      <w:pPr>
        <w:pStyle w:val="ListBullet2"/>
      </w:pPr>
      <w:r>
        <w:t xml:space="preserve">accommodation </w:t>
      </w:r>
      <w:r w:rsidR="003911A1">
        <w:t>(e.g. rental and fit-out)</w:t>
      </w:r>
    </w:p>
    <w:p w14:paraId="4F0EBF5E" w14:textId="720E05C4" w:rsidR="003911A1" w:rsidRDefault="00345F35" w:rsidP="003911A1">
      <w:pPr>
        <w:pStyle w:val="ListBullet2"/>
      </w:pPr>
      <w:r>
        <w:t xml:space="preserve">employee </w:t>
      </w:r>
      <w:r w:rsidR="003911A1">
        <w:t>establishment costs (e.g. purchase of additional IT equipment, furniture); or</w:t>
      </w:r>
    </w:p>
    <w:p w14:paraId="03D055B0" w14:textId="34F7B5BA" w:rsidR="003911A1" w:rsidRDefault="00667E30" w:rsidP="003911A1">
      <w:pPr>
        <w:pStyle w:val="ListBullet2"/>
      </w:pPr>
      <w:r>
        <w:t xml:space="preserve">motor </w:t>
      </w:r>
      <w:r w:rsidR="003911A1">
        <w:t>vehicle</w:t>
      </w:r>
      <w:r w:rsidR="003911A1" w:rsidDel="00667E30">
        <w:t>.</w:t>
      </w:r>
    </w:p>
    <w:p w14:paraId="6A7400ED" w14:textId="77777777" w:rsidR="003911A1" w:rsidRDefault="003911A1" w:rsidP="003911A1">
      <w:r>
        <w:t>If the budget proposal needs to include costings for any of the above costs, the submission should clearly justify the inclusion and provide a detailed estimate of these costs, including the basis of this estimate.</w:t>
      </w:r>
    </w:p>
    <w:p w14:paraId="6C919828" w14:textId="6EAED46D" w:rsidR="000E4693" w:rsidRDefault="000E4693" w:rsidP="006078BE">
      <w:pPr>
        <w:pStyle w:val="Heading1numbered"/>
      </w:pPr>
      <w:bookmarkStart w:id="5" w:name="_Toc87406440"/>
      <w:bookmarkEnd w:id="0"/>
      <w:r>
        <w:t>Other policy and program specific costs</w:t>
      </w:r>
      <w:bookmarkEnd w:id="5"/>
    </w:p>
    <w:p w14:paraId="28872307" w14:textId="25E31BF1" w:rsidR="000E4693" w:rsidRDefault="000E4693" w:rsidP="000E4693">
      <w:r>
        <w:t xml:space="preserve">The methodology for the costing of other policy and program specific costs will vary on a </w:t>
      </w:r>
      <w:r w:rsidRPr="006078BE">
        <w:rPr>
          <w:b/>
          <w:bCs/>
        </w:rPr>
        <w:t>case</w:t>
      </w:r>
      <w:r w:rsidR="006078BE" w:rsidRPr="006078BE">
        <w:rPr>
          <w:b/>
          <w:bCs/>
        </w:rPr>
        <w:noBreakHyphen/>
      </w:r>
      <w:r w:rsidRPr="006078BE">
        <w:rPr>
          <w:b/>
          <w:bCs/>
        </w:rPr>
        <w:t>by</w:t>
      </w:r>
      <w:r w:rsidR="006078BE" w:rsidRPr="006078BE">
        <w:rPr>
          <w:b/>
          <w:bCs/>
        </w:rPr>
        <w:noBreakHyphen/>
      </w:r>
      <w:r w:rsidRPr="006078BE">
        <w:rPr>
          <w:b/>
          <w:bCs/>
        </w:rPr>
        <w:t>case basis</w:t>
      </w:r>
      <w:r>
        <w:t xml:space="preserve">, however, </w:t>
      </w:r>
      <w:proofErr w:type="gramStart"/>
      <w:r>
        <w:t>as a general rule</w:t>
      </w:r>
      <w:proofErr w:type="gramEnd"/>
      <w:r>
        <w:t xml:space="preserve">, departments should aim to provide sufficient justification that demonstrates </w:t>
      </w:r>
      <w:r w:rsidRPr="006078BE">
        <w:rPr>
          <w:b/>
          <w:bCs/>
        </w:rPr>
        <w:t>what</w:t>
      </w:r>
      <w:r>
        <w:t xml:space="preserve"> is being purchased, </w:t>
      </w:r>
      <w:r w:rsidRPr="006078BE">
        <w:rPr>
          <w:b/>
          <w:bCs/>
        </w:rPr>
        <w:t>why</w:t>
      </w:r>
      <w:r>
        <w:t xml:space="preserve"> it is required, and </w:t>
      </w:r>
      <w:r w:rsidRPr="006078BE">
        <w:rPr>
          <w:b/>
          <w:bCs/>
        </w:rPr>
        <w:t>how</w:t>
      </w:r>
      <w:r>
        <w:t xml:space="preserve"> the costs have been derived. </w:t>
      </w:r>
    </w:p>
    <w:p w14:paraId="63579DFB" w14:textId="77777777" w:rsidR="000E4693" w:rsidRDefault="000E4693" w:rsidP="000E4693">
      <w:r>
        <w:t>DTF requests that departments:</w:t>
      </w:r>
    </w:p>
    <w:p w14:paraId="3354893D" w14:textId="5F4A0BBA" w:rsidR="000E4693" w:rsidRDefault="000E4693" w:rsidP="006078BE">
      <w:pPr>
        <w:pStyle w:val="ListBullet"/>
      </w:pPr>
      <w:r>
        <w:t xml:space="preserve">consider the </w:t>
      </w:r>
      <w:r w:rsidRPr="006078BE">
        <w:rPr>
          <w:b/>
          <w:bCs/>
        </w:rPr>
        <w:t>Costing guiding principles</w:t>
      </w:r>
      <w:r>
        <w:t xml:space="preserve"> in the following table when calculating any non-staffing policy and program specific costs</w:t>
      </w:r>
    </w:p>
    <w:p w14:paraId="4D21C7F2" w14:textId="1B8FA7C8" w:rsidR="000E4693" w:rsidRDefault="000E4693" w:rsidP="006078BE">
      <w:pPr>
        <w:pStyle w:val="ListBullet"/>
      </w:pPr>
      <w:r>
        <w:t>engage with DTF early in the costing process to discuss the preferred costing methodology/approach.</w:t>
      </w:r>
    </w:p>
    <w:p w14:paraId="24006023" w14:textId="1A857D04" w:rsidR="000E4693" w:rsidRDefault="009601B0" w:rsidP="000E4693">
      <w:r>
        <w:rPr>
          <w:rFonts w:eastAsia="Times New Roman"/>
        </w:rPr>
        <w:t>For those departments that are eligible to seek indexation,</w:t>
      </w:r>
      <w:r w:rsidRPr="008507D3">
        <w:t xml:space="preserve"> </w:t>
      </w:r>
      <w:r>
        <w:t>n</w:t>
      </w:r>
      <w:r w:rsidR="000E4693" w:rsidRPr="008507D3">
        <w:t>on-wage costs should generally be indexed at 2.5 per cent.</w:t>
      </w:r>
    </w:p>
    <w:p w14:paraId="043406F7" w14:textId="3E6CC2FE" w:rsidR="00933EF1" w:rsidRDefault="000E4693" w:rsidP="006078BE">
      <w:pPr>
        <w:pStyle w:val="Heading2"/>
      </w:pPr>
      <w:bookmarkStart w:id="6" w:name="_Toc87406441"/>
      <w:r>
        <w:t>Costing guiding principles</w:t>
      </w:r>
      <w:bookmarkEnd w:id="6"/>
    </w:p>
    <w:tbl>
      <w:tblPr>
        <w:tblStyle w:val="DTFtexttable"/>
        <w:tblW w:w="4973" w:type="pct"/>
        <w:tblLook w:val="0420" w:firstRow="1" w:lastRow="0" w:firstColumn="0" w:lastColumn="0" w:noHBand="0" w:noVBand="1"/>
      </w:tblPr>
      <w:tblGrid>
        <w:gridCol w:w="2992"/>
        <w:gridCol w:w="2992"/>
        <w:gridCol w:w="2993"/>
      </w:tblGrid>
      <w:tr w:rsidR="002A197C" w:rsidRPr="00E87100" w14:paraId="38752C24" w14:textId="77777777" w:rsidTr="00864C63">
        <w:trPr>
          <w:cnfStyle w:val="100000000000" w:firstRow="1" w:lastRow="0" w:firstColumn="0" w:lastColumn="0" w:oddVBand="0" w:evenVBand="0" w:oddHBand="0" w:evenHBand="0" w:firstRowFirstColumn="0" w:firstRowLastColumn="0" w:lastRowFirstColumn="0" w:lastRowLastColumn="0"/>
        </w:trPr>
        <w:tc>
          <w:tcPr>
            <w:tcW w:w="1666" w:type="pct"/>
          </w:tcPr>
          <w:p w14:paraId="36C90028" w14:textId="77777777" w:rsidR="002A197C" w:rsidRPr="00E87100" w:rsidRDefault="002A197C" w:rsidP="00A5199F">
            <w:r w:rsidRPr="00E87100">
              <w:t>Components/activity</w:t>
            </w:r>
          </w:p>
        </w:tc>
        <w:tc>
          <w:tcPr>
            <w:tcW w:w="1666" w:type="pct"/>
          </w:tcPr>
          <w:p w14:paraId="5817C14B" w14:textId="77777777" w:rsidR="002A197C" w:rsidRPr="00E87100" w:rsidRDefault="002A197C" w:rsidP="00A5199F">
            <w:r w:rsidRPr="00E87100">
              <w:t>Cost drivers/methodology</w:t>
            </w:r>
          </w:p>
        </w:tc>
        <w:tc>
          <w:tcPr>
            <w:tcW w:w="1667" w:type="pct"/>
          </w:tcPr>
          <w:p w14:paraId="225F2E05" w14:textId="77777777" w:rsidR="002A197C" w:rsidRPr="00E87100" w:rsidRDefault="002A197C" w:rsidP="00A5199F">
            <w:r w:rsidRPr="00E87100">
              <w:t>Assumptions/supporting information</w:t>
            </w:r>
          </w:p>
        </w:tc>
      </w:tr>
      <w:tr w:rsidR="002A197C" w:rsidRPr="00E87100" w14:paraId="2D6F24BC" w14:textId="77777777" w:rsidTr="00864C63">
        <w:tc>
          <w:tcPr>
            <w:tcW w:w="1666" w:type="pct"/>
          </w:tcPr>
          <w:p w14:paraId="022B2F02" w14:textId="77777777" w:rsidR="002A197C" w:rsidRPr="008F3936" w:rsidRDefault="002A197C" w:rsidP="00C2772F">
            <w:pPr>
              <w:pStyle w:val="ListBullet"/>
            </w:pPr>
            <w:r w:rsidRPr="008F3936">
              <w:t xml:space="preserve">Distinct activities and components of costings should be disaggregated, categorised and logically presented. For example, this could include, but is not limited to, separating: </w:t>
            </w:r>
          </w:p>
          <w:p w14:paraId="4DB70F9B" w14:textId="77777777" w:rsidR="002A197C" w:rsidRPr="008F3936" w:rsidRDefault="002A197C" w:rsidP="006078BE">
            <w:pPr>
              <w:pStyle w:val="ListBullet2"/>
            </w:pPr>
            <w:r w:rsidRPr="008F3936">
              <w:t xml:space="preserve">output from asset </w:t>
            </w:r>
            <w:proofErr w:type="gramStart"/>
            <w:r w:rsidRPr="008F3936">
              <w:t>costs;</w:t>
            </w:r>
            <w:proofErr w:type="gramEnd"/>
          </w:p>
          <w:p w14:paraId="02DE89C7" w14:textId="539410C8" w:rsidR="002A197C" w:rsidRPr="008F3936" w:rsidRDefault="002A197C" w:rsidP="006078BE">
            <w:pPr>
              <w:pStyle w:val="ListBullet2"/>
            </w:pPr>
            <w:r w:rsidRPr="008F3936">
              <w:t>staffing costs from other non</w:t>
            </w:r>
            <w:r w:rsidR="00C2772F" w:rsidRPr="008F3936">
              <w:noBreakHyphen/>
            </w:r>
            <w:r w:rsidRPr="008F3936">
              <w:t xml:space="preserve">staffing policy and program-specific </w:t>
            </w:r>
            <w:proofErr w:type="gramStart"/>
            <w:r w:rsidRPr="008F3936">
              <w:t>costs;</w:t>
            </w:r>
            <w:proofErr w:type="gramEnd"/>
            <w:r w:rsidRPr="008F3936">
              <w:t xml:space="preserve"> </w:t>
            </w:r>
          </w:p>
          <w:p w14:paraId="2E5840F4" w14:textId="77777777" w:rsidR="002A197C" w:rsidRPr="008F3936" w:rsidRDefault="002A197C" w:rsidP="006078BE">
            <w:pPr>
              <w:pStyle w:val="ListBullet2"/>
            </w:pPr>
            <w:r w:rsidRPr="008F3936">
              <w:t xml:space="preserve">distinct items to be purchased, activities and functions to be </w:t>
            </w:r>
            <w:proofErr w:type="gramStart"/>
            <w:r w:rsidRPr="008F3936">
              <w:t>performed;</w:t>
            </w:r>
            <w:proofErr w:type="gramEnd"/>
            <w:r w:rsidRPr="008F3936">
              <w:t xml:space="preserve"> </w:t>
            </w:r>
          </w:p>
          <w:p w14:paraId="0AC0AA30" w14:textId="0BC3A178" w:rsidR="002A197C" w:rsidRPr="008F3936" w:rsidRDefault="002A197C" w:rsidP="006078BE">
            <w:pPr>
              <w:pStyle w:val="ListBullet2"/>
            </w:pPr>
            <w:r w:rsidRPr="008F3936">
              <w:t xml:space="preserve">business areas of the department, teams’ structure, and </w:t>
            </w:r>
            <w:proofErr w:type="gramStart"/>
            <w:r w:rsidRPr="008F3936">
              <w:t>roles</w:t>
            </w:r>
            <w:r w:rsidR="0095683A" w:rsidRPr="008F3936">
              <w:t>;</w:t>
            </w:r>
            <w:proofErr w:type="gramEnd"/>
          </w:p>
          <w:p w14:paraId="1C4D99E1" w14:textId="1A6EC76C" w:rsidR="002A197C" w:rsidRPr="008F3936" w:rsidRDefault="002A197C" w:rsidP="006078BE">
            <w:pPr>
              <w:pStyle w:val="ListBullet2"/>
            </w:pPr>
            <w:r w:rsidRPr="008F3936">
              <w:t xml:space="preserve">VPS staff, VPS Aligned, </w:t>
            </w:r>
            <w:proofErr w:type="gramStart"/>
            <w:r w:rsidRPr="008F3936">
              <w:t>Non</w:t>
            </w:r>
            <w:proofErr w:type="gramEnd"/>
            <w:r w:rsidR="001639F7" w:rsidRPr="008F3936">
              <w:noBreakHyphen/>
            </w:r>
            <w:r w:rsidRPr="008F3936">
              <w:t xml:space="preserve">VPS Aligned Adaptive Structures (covered by the Victorian Public Service Enterprise Agreement) and other staffing classification captured by other enterprise agreements; </w:t>
            </w:r>
          </w:p>
          <w:p w14:paraId="6815072E" w14:textId="77777777" w:rsidR="002A197C" w:rsidRPr="008F3936" w:rsidRDefault="002A197C" w:rsidP="006078BE">
            <w:pPr>
              <w:pStyle w:val="ListBullet2"/>
            </w:pPr>
            <w:r w:rsidRPr="008F3936">
              <w:t xml:space="preserve">services and activities performed by the </w:t>
            </w:r>
            <w:proofErr w:type="gramStart"/>
            <w:r w:rsidRPr="008F3936">
              <w:t>department;</w:t>
            </w:r>
            <w:proofErr w:type="gramEnd"/>
          </w:p>
          <w:p w14:paraId="09C163A1" w14:textId="77777777" w:rsidR="002A197C" w:rsidRPr="008F3936" w:rsidRDefault="002A197C" w:rsidP="006078BE">
            <w:pPr>
              <w:pStyle w:val="ListBullet2"/>
            </w:pPr>
            <w:r w:rsidRPr="008F3936">
              <w:t xml:space="preserve">services purchased from or via a third </w:t>
            </w:r>
            <w:proofErr w:type="gramStart"/>
            <w:r w:rsidRPr="008F3936">
              <w:t>party;</w:t>
            </w:r>
            <w:proofErr w:type="gramEnd"/>
            <w:r w:rsidRPr="008F3936">
              <w:t xml:space="preserve"> </w:t>
            </w:r>
          </w:p>
          <w:p w14:paraId="5B17CAE3" w14:textId="77777777" w:rsidR="002A197C" w:rsidRPr="008F3936" w:rsidRDefault="002A197C" w:rsidP="006078BE">
            <w:pPr>
              <w:pStyle w:val="ListBullet2"/>
            </w:pPr>
            <w:r w:rsidRPr="008F3936">
              <w:t>services or funding administered on behalf of a third party.</w:t>
            </w:r>
          </w:p>
          <w:p w14:paraId="3ACF5788" w14:textId="77777777" w:rsidR="002A197C" w:rsidRPr="008F3936" w:rsidRDefault="002A197C" w:rsidP="006078BE">
            <w:pPr>
              <w:pStyle w:val="ListBullet2"/>
            </w:pPr>
            <w:r w:rsidRPr="008F3936">
              <w:t xml:space="preserve">reprioritised internal funding, user charges and other revenue. </w:t>
            </w:r>
          </w:p>
        </w:tc>
        <w:tc>
          <w:tcPr>
            <w:tcW w:w="1666" w:type="pct"/>
          </w:tcPr>
          <w:p w14:paraId="3F5DD9EB" w14:textId="3E8F1B14" w:rsidR="002A197C" w:rsidRPr="008F3936" w:rsidRDefault="002A197C" w:rsidP="006B146F">
            <w:pPr>
              <w:pStyle w:val="ListBullet"/>
            </w:pPr>
            <w:r w:rsidRPr="008F3936">
              <w:t>Costings should be presented in M</w:t>
            </w:r>
            <w:r w:rsidR="006B146F" w:rsidRPr="008F3936">
              <w:t>icrosoft</w:t>
            </w:r>
            <w:r w:rsidRPr="008F3936">
              <w:t xml:space="preserve"> Excel with all calculations and formulas accessible. </w:t>
            </w:r>
          </w:p>
          <w:p w14:paraId="0E7DDA3A" w14:textId="77777777" w:rsidR="002A197C" w:rsidRPr="008F3936" w:rsidRDefault="002A197C" w:rsidP="006B146F">
            <w:pPr>
              <w:pStyle w:val="ListBullet"/>
            </w:pPr>
            <w:r w:rsidRPr="008F3936">
              <w:t xml:space="preserve">Unit prices and quantities should be clearly visible and justified. </w:t>
            </w:r>
          </w:p>
          <w:p w14:paraId="0D298BFC" w14:textId="77777777" w:rsidR="002A197C" w:rsidRPr="008F3936" w:rsidRDefault="002A197C" w:rsidP="006B146F">
            <w:pPr>
              <w:pStyle w:val="ListBullet"/>
            </w:pPr>
            <w:r w:rsidRPr="008F3936">
              <w:t xml:space="preserve">Costing methodologies and cost drivers could include, but are not limited to: </w:t>
            </w:r>
          </w:p>
          <w:p w14:paraId="0DEBFCC5" w14:textId="77777777" w:rsidR="002A197C" w:rsidRPr="008F3936" w:rsidRDefault="002A197C" w:rsidP="00514270">
            <w:pPr>
              <w:pStyle w:val="ListBullet2"/>
            </w:pPr>
            <w:r w:rsidRPr="008F3936">
              <w:t xml:space="preserve">Variable costs/demand driven models; this may include price escalation and assumptions. </w:t>
            </w:r>
          </w:p>
          <w:p w14:paraId="314CCA37" w14:textId="77777777" w:rsidR="002A197C" w:rsidRPr="008F3936" w:rsidRDefault="002A197C" w:rsidP="00514270">
            <w:pPr>
              <w:pStyle w:val="ListBullet2"/>
            </w:pPr>
            <w:r w:rsidRPr="008F3936">
              <w:t xml:space="preserve">Unit and fixed price elements; where price of a good or a service is not subject to change and costs are largely driven by price and quantity. </w:t>
            </w:r>
          </w:p>
          <w:p w14:paraId="69F65FBE" w14:textId="77777777" w:rsidR="002A197C" w:rsidRPr="008F3936" w:rsidRDefault="002A197C" w:rsidP="00514270">
            <w:pPr>
              <w:pStyle w:val="ListBullet2"/>
            </w:pPr>
            <w:r w:rsidRPr="008F3936">
              <w:t>Project and milestone driven models; where costs are dictated by agreed milestones or staged implementation.</w:t>
            </w:r>
          </w:p>
          <w:p w14:paraId="2BC3EBF8" w14:textId="77777777" w:rsidR="002A197C" w:rsidRPr="008F3936" w:rsidRDefault="002A197C" w:rsidP="00514270">
            <w:pPr>
              <w:pStyle w:val="ListBullet2"/>
            </w:pPr>
            <w:r w:rsidRPr="008F3936">
              <w:t xml:space="preserve">Capped, price floors or step costs; this could include expenses that are constant for a given level of activity, but increase, decrease or plateau once a threshold is crossed. </w:t>
            </w:r>
          </w:p>
          <w:p w14:paraId="16404ACF" w14:textId="77777777" w:rsidR="002A197C" w:rsidRPr="008F3936" w:rsidRDefault="002A197C" w:rsidP="006B146F">
            <w:pPr>
              <w:pStyle w:val="ListBullet"/>
            </w:pPr>
            <w:r w:rsidRPr="008F3936">
              <w:t xml:space="preserve">Staffing costs are to be derived using standard costing methodologies such as the standard costing model for VPS staff (above) – other models/methodologies are to be agreed with DTF prior to use. </w:t>
            </w:r>
          </w:p>
          <w:p w14:paraId="3B82A624" w14:textId="464CB165" w:rsidR="002A197C" w:rsidRPr="008F3936" w:rsidRDefault="002A197C" w:rsidP="006B146F">
            <w:pPr>
              <w:pStyle w:val="ListBullet"/>
            </w:pPr>
            <w:r w:rsidRPr="008F3936">
              <w:t>Financial implications should be presented across the forward estimates period and should include ongoing costs (if</w:t>
            </w:r>
            <w:r w:rsidR="00864C63" w:rsidRPr="008F3936">
              <w:t> </w:t>
            </w:r>
            <w:r w:rsidRPr="008F3936">
              <w:t>necessary).</w:t>
            </w:r>
          </w:p>
        </w:tc>
        <w:tc>
          <w:tcPr>
            <w:tcW w:w="1667" w:type="pct"/>
          </w:tcPr>
          <w:p w14:paraId="1E2C7CBC" w14:textId="77777777" w:rsidR="002A197C" w:rsidRPr="008F3936" w:rsidRDefault="002A197C" w:rsidP="00864C63">
            <w:pPr>
              <w:pStyle w:val="ListBullet"/>
            </w:pPr>
            <w:r w:rsidRPr="008F3936">
              <w:t xml:space="preserve">Outcome achievement, the costing and associated supporting information should demonstrate the contribution towards achievement of, and should align with, each initiative’s proposed objectives. </w:t>
            </w:r>
          </w:p>
          <w:p w14:paraId="2BBA00FB" w14:textId="77777777" w:rsidR="002A197C" w:rsidRPr="008F3936" w:rsidRDefault="002A197C" w:rsidP="00864C63">
            <w:pPr>
              <w:pStyle w:val="ListBullet"/>
            </w:pPr>
            <w:r w:rsidRPr="008F3936">
              <w:t xml:space="preserve">Robust data and evidence based: costing should be supported by appropriate evidence and assumptions. This could include but is not limited to: </w:t>
            </w:r>
          </w:p>
          <w:p w14:paraId="19C45801" w14:textId="77777777" w:rsidR="002A197C" w:rsidRPr="008F3936" w:rsidRDefault="002A197C" w:rsidP="00864C63">
            <w:pPr>
              <w:pStyle w:val="ListBullet2"/>
            </w:pPr>
            <w:r w:rsidRPr="008F3936">
              <w:t xml:space="preserve">reference to source data, rates used and why they have been </w:t>
            </w:r>
            <w:proofErr w:type="gramStart"/>
            <w:r w:rsidRPr="008F3936">
              <w:t>chosen;</w:t>
            </w:r>
            <w:proofErr w:type="gramEnd"/>
          </w:p>
          <w:p w14:paraId="1C70E865" w14:textId="77777777" w:rsidR="002A197C" w:rsidRPr="008F3936" w:rsidRDefault="002A197C" w:rsidP="00864C63">
            <w:pPr>
              <w:pStyle w:val="ListBullet2"/>
            </w:pPr>
            <w:r w:rsidRPr="008F3936">
              <w:t xml:space="preserve">if costs are based on historical activity or experience, supporting information should detail assumptions and why a similar methodology is still applicable. </w:t>
            </w:r>
          </w:p>
          <w:p w14:paraId="32902FDA" w14:textId="77777777" w:rsidR="002A197C" w:rsidRPr="008F3936" w:rsidRDefault="002A197C" w:rsidP="00864C63">
            <w:pPr>
              <w:pStyle w:val="ListBullet"/>
            </w:pPr>
            <w:r w:rsidRPr="008F3936">
              <w:t xml:space="preserve">Marginal costs only: supporting information should demonstrate that the requested funding represents the marginal costs of the activity only (i.e. incorporates existing funding and efficiencies provided from established departmental structures and processes). </w:t>
            </w:r>
          </w:p>
          <w:p w14:paraId="60888AC5" w14:textId="77777777" w:rsidR="002A197C" w:rsidRPr="008F3936" w:rsidRDefault="002A197C" w:rsidP="00864C63">
            <w:pPr>
              <w:pStyle w:val="ListBullet"/>
            </w:pPr>
            <w:r w:rsidRPr="008F3936">
              <w:t>In the absence of robust data and standardised methodologies: assumptions used to calculate costs should be canvassed, sufficiently justified and agreed with DTF.</w:t>
            </w:r>
          </w:p>
          <w:p w14:paraId="714099D4" w14:textId="77777777" w:rsidR="002A197C" w:rsidRPr="008F3936" w:rsidRDefault="002A197C" w:rsidP="00864C63">
            <w:pPr>
              <w:pStyle w:val="ListBullet"/>
            </w:pPr>
            <w:r w:rsidRPr="008F3936">
              <w:t xml:space="preserve">Demand bids: these should outline the key drivers of the expected growth in a service or program and should be supported by: </w:t>
            </w:r>
          </w:p>
          <w:p w14:paraId="565A5A4B" w14:textId="77777777" w:rsidR="002A197C" w:rsidRPr="008F3936" w:rsidRDefault="002A197C" w:rsidP="00864C63">
            <w:pPr>
              <w:pStyle w:val="ListBullet2"/>
            </w:pPr>
            <w:r w:rsidRPr="008F3936">
              <w:t>a disaggregation of costs into key demand drivers (population, service expansion and price); evidence / data of current utilisation; and</w:t>
            </w:r>
          </w:p>
          <w:p w14:paraId="6346C7E2" w14:textId="77777777" w:rsidR="002A197C" w:rsidRPr="008F3936" w:rsidRDefault="002A197C" w:rsidP="00864C63">
            <w:pPr>
              <w:pStyle w:val="ListBullet2"/>
            </w:pPr>
            <w:r w:rsidRPr="008F3936">
              <w:t xml:space="preserve">assumption underlying anticipated growth. </w:t>
            </w:r>
          </w:p>
        </w:tc>
      </w:tr>
    </w:tbl>
    <w:p w14:paraId="51CF10B7" w14:textId="77777777" w:rsidR="000E4693" w:rsidRDefault="000E4693" w:rsidP="000E4693"/>
    <w:p w14:paraId="46E5017B" w14:textId="3C2AF013" w:rsidR="00285ECE" w:rsidRPr="00682215" w:rsidRDefault="00285ECE" w:rsidP="00285ECE">
      <w:pPr>
        <w:pStyle w:val="Heading1numbered"/>
        <w:rPr>
          <w:szCs w:val="36"/>
        </w:rPr>
      </w:pPr>
      <w:bookmarkStart w:id="7" w:name="_Toc87406442"/>
      <w:r w:rsidRPr="00682215">
        <w:t>Program</w:t>
      </w:r>
      <w:r w:rsidRPr="00682215">
        <w:rPr>
          <w:szCs w:val="36"/>
        </w:rPr>
        <w:t xml:space="preserve"> Budgeting (Output only)</w:t>
      </w:r>
    </w:p>
    <w:p w14:paraId="5A769F87" w14:textId="589A6AFE" w:rsidR="00285ECE" w:rsidRPr="00682215" w:rsidRDefault="00F83D78" w:rsidP="00285ECE">
      <w:r>
        <w:t>D</w:t>
      </w:r>
      <w:r w:rsidR="00285ECE" w:rsidRPr="00682215">
        <w:t>epartments</w:t>
      </w:r>
      <w:r w:rsidR="007234B3" w:rsidRPr="00682215">
        <w:rPr>
          <w:rStyle w:val="FootnoteReference"/>
        </w:rPr>
        <w:footnoteReference w:id="2"/>
      </w:r>
      <w:r w:rsidR="00285ECE" w:rsidRPr="00682215">
        <w:t xml:space="preserve"> are required to identify the programmatic and departmental operating (non-programmatic) components of new output funding requests. This is reflected in updates to the business case and costing templates. </w:t>
      </w:r>
    </w:p>
    <w:p w14:paraId="13D2E1B3" w14:textId="77777777" w:rsidR="00285ECE" w:rsidRPr="00682215" w:rsidRDefault="00285ECE" w:rsidP="00285ECE">
      <w:pPr>
        <w:rPr>
          <w:rFonts w:ascii="Arial" w:eastAsia="Arial" w:hAnsi="Arial" w:cs="Arial"/>
        </w:rPr>
      </w:pPr>
      <w:r w:rsidRPr="00682215">
        <w:rPr>
          <w:rFonts w:ascii="Arial" w:eastAsia="Arial" w:hAnsi="Arial" w:cs="Arial"/>
        </w:rPr>
        <w:t xml:space="preserve">This involves separating proposed expenditure on an initiative into the following functional categories: </w:t>
      </w:r>
    </w:p>
    <w:p w14:paraId="1C2959D6" w14:textId="77777777" w:rsidR="00285ECE" w:rsidRPr="00682215" w:rsidRDefault="00285ECE" w:rsidP="00285ECE">
      <w:pPr>
        <w:pStyle w:val="ListParagraph"/>
        <w:numPr>
          <w:ilvl w:val="0"/>
          <w:numId w:val="19"/>
        </w:numPr>
        <w:ind w:left="714" w:hanging="357"/>
        <w:contextualSpacing w:val="0"/>
        <w:rPr>
          <w:b/>
          <w:bCs/>
          <w:i/>
          <w:iCs/>
          <w:color w:val="auto"/>
        </w:rPr>
      </w:pPr>
      <w:r w:rsidRPr="00682215">
        <w:rPr>
          <w:b/>
          <w:bCs/>
          <w:i/>
          <w:iCs/>
          <w:color w:val="auto"/>
        </w:rPr>
        <w:t xml:space="preserve">Program: </w:t>
      </w:r>
      <w:r w:rsidRPr="00682215">
        <w:rPr>
          <w:color w:val="auto"/>
        </w:rPr>
        <w:t>activities, services, projects, and expenditure that directly serves the public.</w:t>
      </w:r>
      <w:r w:rsidRPr="00682215">
        <w:rPr>
          <w:b/>
          <w:bCs/>
          <w:i/>
          <w:iCs/>
          <w:color w:val="auto"/>
        </w:rPr>
        <w:t xml:space="preserve"> </w:t>
      </w:r>
    </w:p>
    <w:p w14:paraId="796816FE" w14:textId="77777777" w:rsidR="00285ECE" w:rsidRPr="00682215" w:rsidRDefault="00285ECE" w:rsidP="00285ECE">
      <w:pPr>
        <w:pStyle w:val="ListParagraph"/>
        <w:numPr>
          <w:ilvl w:val="0"/>
          <w:numId w:val="19"/>
        </w:numPr>
        <w:ind w:left="714" w:hanging="357"/>
        <w:contextualSpacing w:val="0"/>
        <w:rPr>
          <w:b/>
          <w:bCs/>
          <w:i/>
          <w:iCs/>
          <w:color w:val="auto"/>
        </w:rPr>
      </w:pPr>
      <w:r w:rsidRPr="00682215">
        <w:rPr>
          <w:b/>
          <w:bCs/>
          <w:i/>
          <w:iCs/>
          <w:color w:val="auto"/>
        </w:rPr>
        <w:t xml:space="preserve">Corporate: </w:t>
      </w:r>
      <w:r w:rsidRPr="00682215">
        <w:rPr>
          <w:color w:val="auto"/>
        </w:rPr>
        <w:t>activities and expenditure with the immediate purpose of supporting the operation of departments and agencies.</w:t>
      </w:r>
    </w:p>
    <w:p w14:paraId="29470D94" w14:textId="15351AAB" w:rsidR="00285ECE" w:rsidRPr="00682215" w:rsidRDefault="00285ECE" w:rsidP="46E6A1F7">
      <w:pPr>
        <w:pStyle w:val="ListParagraph"/>
        <w:numPr>
          <w:ilvl w:val="0"/>
          <w:numId w:val="19"/>
        </w:numPr>
        <w:ind w:left="714" w:hanging="357"/>
        <w:rPr>
          <w:color w:val="auto"/>
        </w:rPr>
      </w:pPr>
      <w:r w:rsidRPr="00682215">
        <w:rPr>
          <w:b/>
          <w:bCs/>
          <w:i/>
          <w:iCs/>
          <w:color w:val="auto"/>
        </w:rPr>
        <w:t xml:space="preserve">Program Enabling Support (PES): </w:t>
      </w:r>
      <w:r w:rsidRPr="00682215">
        <w:rPr>
          <w:color w:val="auto"/>
        </w:rPr>
        <w:t xml:space="preserve">activities and expenditure required to support the delivery of programs but does not directly benefit the </w:t>
      </w:r>
      <w:r w:rsidR="00052AE3">
        <w:rPr>
          <w:color w:val="auto"/>
        </w:rPr>
        <w:t>Victorian community</w:t>
      </w:r>
      <w:r w:rsidRPr="00682215">
        <w:rPr>
          <w:color w:val="auto"/>
        </w:rPr>
        <w:t>.</w:t>
      </w:r>
    </w:p>
    <w:p w14:paraId="25E0B19F" w14:textId="62220D98" w:rsidR="00285ECE" w:rsidRPr="00682215" w:rsidRDefault="00285ECE" w:rsidP="00285ECE">
      <w:pPr>
        <w:pStyle w:val="ListParagraph"/>
        <w:numPr>
          <w:ilvl w:val="0"/>
          <w:numId w:val="19"/>
        </w:numPr>
        <w:ind w:left="714" w:hanging="357"/>
        <w:contextualSpacing w:val="0"/>
        <w:rPr>
          <w:color w:val="auto"/>
        </w:rPr>
      </w:pPr>
      <w:proofErr w:type="spellStart"/>
      <w:r w:rsidRPr="00682215">
        <w:rPr>
          <w:b/>
          <w:bCs/>
          <w:i/>
          <w:iCs/>
          <w:color w:val="auto"/>
        </w:rPr>
        <w:t>WoVG</w:t>
      </w:r>
      <w:proofErr w:type="spellEnd"/>
      <w:r w:rsidRPr="00682215">
        <w:rPr>
          <w:b/>
          <w:bCs/>
          <w:i/>
          <w:iCs/>
          <w:color w:val="auto"/>
        </w:rPr>
        <w:t xml:space="preserve"> Capability</w:t>
      </w:r>
      <w:r w:rsidRPr="00682215">
        <w:rPr>
          <w:color w:val="auto"/>
        </w:rPr>
        <w:t>: functions which do not strictly support a program, but rather the basic operation of Government (mostly relevant to DPC</w:t>
      </w:r>
      <w:r w:rsidR="005A557F">
        <w:rPr>
          <w:color w:val="auto"/>
        </w:rPr>
        <w:t xml:space="preserve">, </w:t>
      </w:r>
      <w:r w:rsidRPr="00682215">
        <w:rPr>
          <w:color w:val="auto"/>
        </w:rPr>
        <w:t>DTF</w:t>
      </w:r>
      <w:r w:rsidR="005A557F">
        <w:rPr>
          <w:color w:val="auto"/>
        </w:rPr>
        <w:t xml:space="preserve"> </w:t>
      </w:r>
      <w:r w:rsidR="00FA0232">
        <w:rPr>
          <w:color w:val="auto"/>
        </w:rPr>
        <w:t>and</w:t>
      </w:r>
      <w:r w:rsidR="005A557F">
        <w:rPr>
          <w:color w:val="auto"/>
        </w:rPr>
        <w:t xml:space="preserve"> DGS</w:t>
      </w:r>
      <w:r w:rsidRPr="00682215">
        <w:rPr>
          <w:color w:val="auto"/>
        </w:rPr>
        <w:t>).</w:t>
      </w:r>
    </w:p>
    <w:p w14:paraId="0AD23466" w14:textId="7C77EB01" w:rsidR="005A557F" w:rsidRPr="00682215" w:rsidRDefault="005A557F" w:rsidP="00285ECE">
      <w:pPr>
        <w:pStyle w:val="ListParagraph"/>
        <w:numPr>
          <w:ilvl w:val="0"/>
          <w:numId w:val="19"/>
        </w:numPr>
        <w:ind w:left="714" w:hanging="357"/>
        <w:contextualSpacing w:val="0"/>
        <w:rPr>
          <w:color w:val="auto"/>
        </w:rPr>
      </w:pPr>
      <w:r>
        <w:rPr>
          <w:b/>
          <w:bCs/>
          <w:i/>
          <w:iCs/>
          <w:color w:val="auto"/>
        </w:rPr>
        <w:t xml:space="preserve">Grant </w:t>
      </w:r>
      <w:r w:rsidR="00A40241">
        <w:rPr>
          <w:b/>
          <w:bCs/>
          <w:i/>
          <w:iCs/>
          <w:color w:val="auto"/>
        </w:rPr>
        <w:t>Administration</w:t>
      </w:r>
      <w:r w:rsidR="00A40241" w:rsidRPr="00656D2C">
        <w:rPr>
          <w:color w:val="auto"/>
        </w:rPr>
        <w:t>:</w:t>
      </w:r>
      <w:r w:rsidR="00A40241" w:rsidRPr="00DE1A45">
        <w:rPr>
          <w:color w:val="auto"/>
        </w:rPr>
        <w:t xml:space="preserve"> </w:t>
      </w:r>
      <w:r w:rsidR="00F34F15" w:rsidRPr="00DE1A45">
        <w:rPr>
          <w:color w:val="auto"/>
        </w:rPr>
        <w:t xml:space="preserve">activities or </w:t>
      </w:r>
      <w:r w:rsidR="00567BC9" w:rsidRPr="00DE1A45">
        <w:rPr>
          <w:color w:val="auto"/>
        </w:rPr>
        <w:t xml:space="preserve">expenditure </w:t>
      </w:r>
      <w:r w:rsidR="00BE4DAB" w:rsidRPr="00DE1A45">
        <w:rPr>
          <w:color w:val="auto"/>
        </w:rPr>
        <w:t xml:space="preserve">directly related to supporting the delivery of </w:t>
      </w:r>
      <w:r w:rsidR="00F34F15" w:rsidRPr="00DE1A45">
        <w:rPr>
          <w:color w:val="auto"/>
        </w:rPr>
        <w:t>a grant program(s).</w:t>
      </w:r>
    </w:p>
    <w:p w14:paraId="7A7EE57F" w14:textId="76B26552" w:rsidR="00285ECE" w:rsidRPr="00682215" w:rsidRDefault="00285ECE" w:rsidP="00285ECE">
      <w:pPr>
        <w:pStyle w:val="ListParagraph"/>
        <w:numPr>
          <w:ilvl w:val="0"/>
          <w:numId w:val="19"/>
        </w:numPr>
        <w:ind w:left="714" w:hanging="357"/>
        <w:contextualSpacing w:val="0"/>
        <w:rPr>
          <w:color w:val="auto"/>
        </w:rPr>
      </w:pPr>
      <w:r w:rsidRPr="00682215">
        <w:rPr>
          <w:b/>
          <w:bCs/>
          <w:i/>
          <w:iCs/>
          <w:color w:val="auto"/>
        </w:rPr>
        <w:t>Departmental Activities and Operations:</w:t>
      </w:r>
      <w:r w:rsidRPr="00682215">
        <w:rPr>
          <w:color w:val="auto"/>
        </w:rPr>
        <w:t xml:space="preserve"> this is not a distinct functional category but an umbrella term comprising the corporate, PES, </w:t>
      </w:r>
      <w:proofErr w:type="spellStart"/>
      <w:r w:rsidRPr="00682215">
        <w:rPr>
          <w:color w:val="auto"/>
        </w:rPr>
        <w:t>WoVG</w:t>
      </w:r>
      <w:proofErr w:type="spellEnd"/>
      <w:r w:rsidRPr="00682215">
        <w:rPr>
          <w:color w:val="auto"/>
        </w:rPr>
        <w:t xml:space="preserve"> capability</w:t>
      </w:r>
      <w:r w:rsidR="00F73D8E">
        <w:rPr>
          <w:color w:val="auto"/>
        </w:rPr>
        <w:t>, and grant administration</w:t>
      </w:r>
      <w:r w:rsidRPr="00682215">
        <w:rPr>
          <w:color w:val="auto"/>
        </w:rPr>
        <w:t xml:space="preserve"> categories. This classification </w:t>
      </w:r>
      <w:r w:rsidR="004C256E">
        <w:rPr>
          <w:color w:val="auto"/>
        </w:rPr>
        <w:t xml:space="preserve">will be used </w:t>
      </w:r>
      <w:r w:rsidR="005468A6">
        <w:rPr>
          <w:color w:val="auto"/>
        </w:rPr>
        <w:t>for aggregating</w:t>
      </w:r>
      <w:r w:rsidR="004C256E">
        <w:rPr>
          <w:color w:val="auto"/>
        </w:rPr>
        <w:t xml:space="preserve"> all non-programmatic departmental operating costs. </w:t>
      </w:r>
    </w:p>
    <w:p w14:paraId="2E3B5ECF" w14:textId="658E8CB7" w:rsidR="006300FD" w:rsidRPr="00656D2C" w:rsidRDefault="00BB247E" w:rsidP="00656D2C">
      <w:pPr>
        <w:rPr>
          <w:color w:val="auto"/>
        </w:rPr>
      </w:pPr>
      <w:r>
        <w:rPr>
          <w:color w:val="auto"/>
        </w:rPr>
        <w:t xml:space="preserve">The short form business case </w:t>
      </w:r>
      <w:r w:rsidR="00AB04F6">
        <w:rPr>
          <w:color w:val="auto"/>
        </w:rPr>
        <w:t xml:space="preserve">(Attachment D) </w:t>
      </w:r>
      <w:r>
        <w:rPr>
          <w:color w:val="auto"/>
        </w:rPr>
        <w:t xml:space="preserve">contains a </w:t>
      </w:r>
      <w:r w:rsidR="00413731">
        <w:rPr>
          <w:color w:val="auto"/>
        </w:rPr>
        <w:t xml:space="preserve">free text box </w:t>
      </w:r>
      <w:r w:rsidR="008E608B">
        <w:rPr>
          <w:color w:val="auto"/>
        </w:rPr>
        <w:t xml:space="preserve">beneath the </w:t>
      </w:r>
      <w:r w:rsidR="00C15AD7">
        <w:rPr>
          <w:color w:val="auto"/>
        </w:rPr>
        <w:t xml:space="preserve">budget impact funding table. This can be used by departments to provide any additional information that </w:t>
      </w:r>
      <w:r w:rsidR="005A3C48">
        <w:rPr>
          <w:color w:val="auto"/>
        </w:rPr>
        <w:t>can help to support the</w:t>
      </w:r>
      <w:r w:rsidR="002F19D3">
        <w:rPr>
          <w:color w:val="auto"/>
        </w:rPr>
        <w:t xml:space="preserve"> request for Departmental Activities and Operations funding that is not found elsewhere in the </w:t>
      </w:r>
      <w:r w:rsidR="002B64B2">
        <w:rPr>
          <w:color w:val="auto"/>
        </w:rPr>
        <w:t>template. For example, it might explain the request to provide a regulatory function within the department</w:t>
      </w:r>
      <w:r w:rsidR="00F05661">
        <w:rPr>
          <w:color w:val="auto"/>
        </w:rPr>
        <w:t xml:space="preserve"> without which the service delivery (programmatic) component of the initiative would not be </w:t>
      </w:r>
      <w:r w:rsidR="00093A65">
        <w:rPr>
          <w:color w:val="auto"/>
        </w:rPr>
        <w:t>possible.</w:t>
      </w:r>
    </w:p>
    <w:p w14:paraId="15207B71" w14:textId="77777777" w:rsidR="00285ECE" w:rsidRPr="00682215" w:rsidRDefault="00285ECE" w:rsidP="00285ECE">
      <w:pPr>
        <w:pStyle w:val="Heading2numbered"/>
        <w:ind w:left="426"/>
        <w:rPr>
          <w:rFonts w:asciiTheme="minorHAnsi" w:eastAsiaTheme="minorEastAsia" w:hAnsiTheme="minorHAnsi" w:cstheme="minorBidi"/>
          <w:szCs w:val="28"/>
        </w:rPr>
      </w:pPr>
      <w:r w:rsidRPr="00682215">
        <w:rPr>
          <w:rFonts w:asciiTheme="minorHAnsi" w:eastAsiaTheme="minorEastAsia" w:hAnsiTheme="minorHAnsi" w:cstheme="minorBidi"/>
          <w:szCs w:val="28"/>
        </w:rPr>
        <w:t xml:space="preserve"> Guidance for the completion of costing templates  </w:t>
      </w:r>
    </w:p>
    <w:p w14:paraId="1A2C6E14" w14:textId="218E304C" w:rsidR="00285ECE" w:rsidRPr="00682215" w:rsidRDefault="00285ECE" w:rsidP="00285ECE">
      <w:r w:rsidRPr="00682215">
        <w:t xml:space="preserve">To enable </w:t>
      </w:r>
      <w:r w:rsidR="14745846" w:rsidRPr="00682215">
        <w:t>the</w:t>
      </w:r>
      <w:r w:rsidRPr="00682215">
        <w:t xml:space="preserve"> collection of program budgeting data, two additional columns have been added to the costing templates. For each output cost, select the relevant functional category from a dropdown list in the </w:t>
      </w:r>
      <w:r w:rsidRPr="00682215">
        <w:rPr>
          <w:i/>
          <w:iCs/>
        </w:rPr>
        <w:t xml:space="preserve">PB Functional category </w:t>
      </w:r>
      <w:r w:rsidRPr="00682215">
        <w:t xml:space="preserve">column. </w:t>
      </w:r>
    </w:p>
    <w:p w14:paraId="3587A871" w14:textId="7692ABBE" w:rsidR="00285ECE" w:rsidRPr="00682215" w:rsidRDefault="00285ECE" w:rsidP="00285ECE">
      <w:r w:rsidRPr="00682215">
        <w:rPr>
          <w:rFonts w:ascii="Arial" w:eastAsia="Arial" w:hAnsi="Arial" w:cs="Arial"/>
        </w:rPr>
        <w:t xml:space="preserve">In the </w:t>
      </w:r>
      <w:r w:rsidRPr="00682215">
        <w:rPr>
          <w:rFonts w:ascii="Arial" w:eastAsia="Arial" w:hAnsi="Arial" w:cs="Arial"/>
          <w:i/>
          <w:iCs/>
        </w:rPr>
        <w:t>Program/</w:t>
      </w:r>
      <w:proofErr w:type="spellStart"/>
      <w:r w:rsidRPr="00682215">
        <w:rPr>
          <w:rFonts w:ascii="Arial" w:eastAsia="Arial" w:hAnsi="Arial" w:cs="Arial"/>
          <w:i/>
          <w:iCs/>
        </w:rPr>
        <w:t>WoVG</w:t>
      </w:r>
      <w:proofErr w:type="spellEnd"/>
      <w:r w:rsidRPr="00682215">
        <w:rPr>
          <w:rFonts w:ascii="Arial" w:eastAsia="Arial" w:hAnsi="Arial" w:cs="Arial"/>
          <w:i/>
          <w:iCs/>
        </w:rPr>
        <w:t xml:space="preserve"> Capability name </w:t>
      </w:r>
      <w:r w:rsidRPr="00682215">
        <w:rPr>
          <w:rFonts w:ascii="Arial" w:eastAsia="Arial" w:hAnsi="Arial" w:cs="Arial"/>
        </w:rPr>
        <w:t xml:space="preserve">column, departments should include the names of any impacted programs as per their agreed departmental program structure. </w:t>
      </w:r>
      <w:r w:rsidR="00AA3588">
        <w:rPr>
          <w:rFonts w:ascii="Arial" w:eastAsia="Arial" w:hAnsi="Arial" w:cs="Arial"/>
        </w:rPr>
        <w:t xml:space="preserve">Program areas should refer to </w:t>
      </w:r>
      <w:r w:rsidR="00FA0232">
        <w:rPr>
          <w:rFonts w:ascii="Arial" w:eastAsia="Arial" w:hAnsi="Arial" w:cs="Arial"/>
        </w:rPr>
        <w:t xml:space="preserve">the </w:t>
      </w:r>
      <w:hyperlink r:id="rId13" w:history="1">
        <w:r w:rsidR="00FA0232" w:rsidRPr="00CF0D76">
          <w:rPr>
            <w:rStyle w:val="Hyperlink"/>
            <w:rFonts w:ascii="Arial" w:eastAsia="Arial" w:hAnsi="Arial" w:cs="Arial"/>
          </w:rPr>
          <w:t>Program Budgeting SharePoint Hub</w:t>
        </w:r>
      </w:hyperlink>
      <w:r w:rsidR="00CF0D76">
        <w:rPr>
          <w:rFonts w:ascii="Arial" w:eastAsia="Arial" w:hAnsi="Arial" w:cs="Arial"/>
        </w:rPr>
        <w:t xml:space="preserve"> </w:t>
      </w:r>
      <w:r w:rsidR="00AA3588">
        <w:rPr>
          <w:rFonts w:ascii="Arial" w:eastAsia="Arial" w:hAnsi="Arial" w:cs="Arial"/>
        </w:rPr>
        <w:t>for a</w:t>
      </w:r>
      <w:r w:rsidR="00CF0D76">
        <w:rPr>
          <w:rFonts w:ascii="Arial" w:eastAsia="Arial" w:hAnsi="Arial" w:cs="Arial"/>
        </w:rPr>
        <w:t>ccess to their department’s program structure which contains</w:t>
      </w:r>
      <w:r w:rsidR="00AA3588">
        <w:rPr>
          <w:rFonts w:ascii="Arial" w:eastAsia="Arial" w:hAnsi="Arial" w:cs="Arial"/>
        </w:rPr>
        <w:t xml:space="preserve"> a list of program/</w:t>
      </w:r>
      <w:proofErr w:type="spellStart"/>
      <w:r w:rsidR="00AA3588">
        <w:rPr>
          <w:rFonts w:ascii="Arial" w:eastAsia="Arial" w:hAnsi="Arial" w:cs="Arial"/>
        </w:rPr>
        <w:t>WoVG</w:t>
      </w:r>
      <w:proofErr w:type="spellEnd"/>
      <w:r w:rsidR="00AA3588">
        <w:rPr>
          <w:rFonts w:ascii="Arial" w:eastAsia="Arial" w:hAnsi="Arial" w:cs="Arial"/>
        </w:rPr>
        <w:t xml:space="preserve"> capability</w:t>
      </w:r>
      <w:r w:rsidR="004E6793">
        <w:rPr>
          <w:rFonts w:ascii="Arial" w:eastAsia="Arial" w:hAnsi="Arial" w:cs="Arial"/>
        </w:rPr>
        <w:t xml:space="preserve"> names for their department.</w:t>
      </w:r>
    </w:p>
    <w:p w14:paraId="6794A87D" w14:textId="2E141E1C" w:rsidR="00285ECE" w:rsidRPr="00682215" w:rsidRDefault="00285ECE" w:rsidP="00285ECE">
      <w:r w:rsidRPr="00682215">
        <w:t xml:space="preserve">Once complete, the contents of the summary table in the Summary worksheet can be pasted into Table 6.2 of the short form business case template. </w:t>
      </w:r>
    </w:p>
    <w:p w14:paraId="4D10B680" w14:textId="273BB23B" w:rsidR="00285ECE" w:rsidRPr="00682215" w:rsidRDefault="00285ECE" w:rsidP="00285ECE">
      <w:pPr>
        <w:pStyle w:val="Heading2numbered"/>
        <w:numPr>
          <w:ilvl w:val="1"/>
          <w:numId w:val="0"/>
        </w:numPr>
        <w:spacing w:before="120"/>
        <w:rPr>
          <w:rFonts w:asciiTheme="minorHAnsi" w:eastAsiaTheme="minorEastAsia" w:hAnsiTheme="minorHAnsi" w:cstheme="minorBidi"/>
          <w:b w:val="0"/>
          <w:bCs w:val="0"/>
          <w:color w:val="232B39" w:themeColor="text1"/>
          <w:sz w:val="20"/>
          <w:szCs w:val="20"/>
        </w:rPr>
      </w:pPr>
      <w:r w:rsidRPr="00682215">
        <w:rPr>
          <w:rFonts w:asciiTheme="minorHAnsi" w:eastAsiaTheme="minorEastAsia" w:hAnsiTheme="minorHAnsi" w:cstheme="minorBidi"/>
          <w:b w:val="0"/>
          <w:color w:val="232A38"/>
          <w:sz w:val="20"/>
          <w:szCs w:val="20"/>
        </w:rPr>
        <w:t xml:space="preserve">For more information and further guidance about program budgeting, please refer to the Program Budgeting Transitional Guidance </w:t>
      </w:r>
      <w:r w:rsidR="3BC96458" w:rsidRPr="00682215">
        <w:rPr>
          <w:rFonts w:asciiTheme="minorHAnsi" w:eastAsiaTheme="minorEastAsia" w:hAnsiTheme="minorHAnsi" w:cstheme="minorBidi"/>
          <w:b w:val="0"/>
          <w:bCs w:val="0"/>
          <w:color w:val="232A38"/>
          <w:sz w:val="20"/>
          <w:szCs w:val="20"/>
        </w:rPr>
        <w:t xml:space="preserve">at </w:t>
      </w:r>
      <w:hyperlink r:id="rId14" w:history="1">
        <w:r w:rsidR="002A75A7">
          <w:rPr>
            <w:rStyle w:val="Hyperlink"/>
            <w:rFonts w:asciiTheme="minorHAnsi" w:eastAsiaTheme="minorEastAsia" w:hAnsiTheme="minorHAnsi" w:cstheme="minorBidi"/>
            <w:b w:val="0"/>
            <w:bCs w:val="0"/>
            <w:sz w:val="20"/>
            <w:szCs w:val="20"/>
          </w:rPr>
          <w:t xml:space="preserve">Program Budgeting Reform page </w:t>
        </w:r>
      </w:hyperlink>
      <w:r w:rsidR="00C66606">
        <w:rPr>
          <w:rFonts w:asciiTheme="minorHAnsi" w:eastAsiaTheme="minorEastAsia" w:hAnsiTheme="minorHAnsi" w:cstheme="minorBidi"/>
          <w:b w:val="0"/>
          <w:color w:val="232A38"/>
          <w:sz w:val="20"/>
          <w:szCs w:val="20"/>
        </w:rPr>
        <w:t xml:space="preserve"> or via the </w:t>
      </w:r>
      <w:hyperlink r:id="rId15" w:history="1">
        <w:r w:rsidR="00C66606" w:rsidRPr="00C66606">
          <w:rPr>
            <w:rStyle w:val="Hyperlink"/>
            <w:rFonts w:asciiTheme="minorHAnsi" w:eastAsiaTheme="minorEastAsia" w:hAnsiTheme="minorHAnsi" w:cstheme="minorBidi"/>
            <w:b w:val="0"/>
            <w:sz w:val="20"/>
            <w:szCs w:val="20"/>
          </w:rPr>
          <w:t>Program Budgeting SharePoint Hub.</w:t>
        </w:r>
      </w:hyperlink>
    </w:p>
    <w:p w14:paraId="5DDE2014" w14:textId="0237E37E" w:rsidR="00285ECE" w:rsidRPr="00682215" w:rsidRDefault="00285ECE" w:rsidP="00D26EDD">
      <w:pPr>
        <w:rPr>
          <w:rFonts w:ascii="Arial" w:eastAsia="Arial" w:hAnsi="Arial" w:cs="Arial"/>
        </w:rPr>
      </w:pPr>
      <w:r w:rsidRPr="00682215">
        <w:rPr>
          <w:rFonts w:ascii="Arial" w:eastAsia="Arial" w:hAnsi="Arial" w:cs="Arial"/>
        </w:rPr>
        <w:t xml:space="preserve">For any questions about program budgeting and its requirements in the budget submission process, please contact: </w:t>
      </w:r>
      <w:hyperlink r:id="rId16" w:history="1">
        <w:r w:rsidR="00A90F9D" w:rsidRPr="00682215">
          <w:rPr>
            <w:rStyle w:val="Hyperlink"/>
            <w:rFonts w:ascii="Arial" w:eastAsia="Arial" w:hAnsi="Arial" w:cs="Arial"/>
          </w:rPr>
          <w:t>program.budgeting@dtf.vic.gov.au</w:t>
        </w:r>
      </w:hyperlink>
    </w:p>
    <w:p w14:paraId="55EE575E" w14:textId="12C65601" w:rsidR="00BB5F54" w:rsidRPr="00682215" w:rsidRDefault="00BB5F54" w:rsidP="00CA5546">
      <w:pPr>
        <w:pStyle w:val="Heading1numbered"/>
      </w:pPr>
      <w:r w:rsidRPr="00682215">
        <w:t>Gender Impact Assessments</w:t>
      </w:r>
      <w:bookmarkEnd w:id="7"/>
    </w:p>
    <w:p w14:paraId="24EDA893" w14:textId="3D7BE0D2" w:rsidR="00FF1C1B" w:rsidRPr="00682215" w:rsidRDefault="00FF1C1B" w:rsidP="00FF1C1B">
      <w:pPr>
        <w:pStyle w:val="Heading3"/>
      </w:pPr>
      <w:r w:rsidRPr="00682215">
        <w:t>How to determine whether a GIA is required</w:t>
      </w:r>
    </w:p>
    <w:p w14:paraId="4C68E81E" w14:textId="2FB9724C" w:rsidR="00FF1C1B" w:rsidRDefault="00FF1C1B" w:rsidP="00FF1C1B">
      <w:r w:rsidRPr="00682215">
        <w:t xml:space="preserve">The </w:t>
      </w:r>
      <w:r w:rsidRPr="00682215">
        <w:rPr>
          <w:i/>
          <w:iCs/>
        </w:rPr>
        <w:t xml:space="preserve">Gender Equality Act 2020 </w:t>
      </w:r>
      <w:r w:rsidRPr="00682215">
        <w:t xml:space="preserve">requires a GIA to be completed for initiatives that directly and significantly impact the public. Any submission lodged for </w:t>
      </w:r>
      <w:r>
        <w:t>BFC</w:t>
      </w:r>
      <w:r w:rsidRPr="00682215">
        <w:t xml:space="preserve"> consideration</w:t>
      </w:r>
      <w:r>
        <w:t xml:space="preserve"> is considered to have a significant impact</w:t>
      </w:r>
      <w:r w:rsidRPr="00682215">
        <w:t xml:space="preserve">. </w:t>
      </w:r>
      <w:r w:rsidR="00552F94">
        <w:t>Most initiatives will have a direct impact on the public, as they will be seeking to provide a benefit to Victorian people or a group of people, unless the initiative is directed solely at the internal operations or activities of departments that do not engage with the public (e.g. salaries and superannuation, internal IT infrastructure).</w:t>
      </w:r>
    </w:p>
    <w:p w14:paraId="6F9DA322" w14:textId="3079A020" w:rsidR="00FF1C1B" w:rsidRDefault="00FF1C1B" w:rsidP="00FF1C1B">
      <w:r>
        <w:t>Government can also influence gender equality through initiatives that impact on public sector workforces. As the Gender Equality Act requires organisations to complete a Gender Equality Action Plan (GEAP) in relation to their workforce, this analysis may be used in place of a GIA for initiatives that are actions arising from the GEAP.  For initiatives that support these employees, a GIA should be completed.</w:t>
      </w:r>
    </w:p>
    <w:p w14:paraId="0D884032" w14:textId="77777777" w:rsidR="00FF1C1B" w:rsidRDefault="00FF1C1B" w:rsidP="00FF1C1B">
      <w:r>
        <w:t>To assist business case writers, this has been linked to the Program Budgeting functional categories.</w:t>
      </w:r>
    </w:p>
    <w:tbl>
      <w:tblPr>
        <w:tblStyle w:val="DTFtexttable"/>
        <w:tblW w:w="0" w:type="auto"/>
        <w:tblLook w:val="04A0" w:firstRow="1" w:lastRow="0" w:firstColumn="1" w:lastColumn="0" w:noHBand="0" w:noVBand="1"/>
      </w:tblPr>
      <w:tblGrid>
        <w:gridCol w:w="4508"/>
        <w:gridCol w:w="4508"/>
      </w:tblGrid>
      <w:tr w:rsidR="00FF1C1B" w14:paraId="0A785397" w14:textId="77777777" w:rsidTr="003F4B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3F1386EB" w14:textId="77777777" w:rsidR="00FF1C1B" w:rsidRDefault="00FF1C1B" w:rsidP="003F4B92">
            <w:r>
              <w:t>Program Budgeting functional category</w:t>
            </w:r>
          </w:p>
        </w:tc>
        <w:tc>
          <w:tcPr>
            <w:tcW w:w="0" w:type="dxa"/>
          </w:tcPr>
          <w:p w14:paraId="6B2BCD85" w14:textId="77777777" w:rsidR="00FF1C1B" w:rsidRDefault="00FF1C1B" w:rsidP="003F4B92">
            <w:pPr>
              <w:cnfStyle w:val="100000000000" w:firstRow="1" w:lastRow="0" w:firstColumn="0" w:lastColumn="0" w:oddVBand="0" w:evenVBand="0" w:oddHBand="0" w:evenHBand="0" w:firstRowFirstColumn="0" w:firstRowLastColumn="0" w:lastRowFirstColumn="0" w:lastRowLastColumn="0"/>
            </w:pPr>
            <w:r>
              <w:t>GIA requirement for budget</w:t>
            </w:r>
          </w:p>
        </w:tc>
      </w:tr>
      <w:tr w:rsidR="00FF1C1B" w14:paraId="2B013D27" w14:textId="77777777" w:rsidTr="003F4B92">
        <w:tc>
          <w:tcPr>
            <w:cnfStyle w:val="001000000000" w:firstRow="0" w:lastRow="0" w:firstColumn="1" w:lastColumn="0" w:oddVBand="0" w:evenVBand="0" w:oddHBand="0" w:evenHBand="0" w:firstRowFirstColumn="0" w:firstRowLastColumn="0" w:lastRowFirstColumn="0" w:lastRowLastColumn="0"/>
            <w:tcW w:w="0" w:type="dxa"/>
          </w:tcPr>
          <w:p w14:paraId="452B8D77" w14:textId="77777777" w:rsidR="00FF1C1B" w:rsidRDefault="00FF1C1B" w:rsidP="003F4B92">
            <w:r>
              <w:t>Program</w:t>
            </w:r>
          </w:p>
        </w:tc>
        <w:tc>
          <w:tcPr>
            <w:tcW w:w="0" w:type="dxa"/>
          </w:tcPr>
          <w:p w14:paraId="32DEDE41" w14:textId="77777777" w:rsidR="00FF1C1B" w:rsidRDefault="00FF1C1B" w:rsidP="003F4B92">
            <w:pPr>
              <w:cnfStyle w:val="000000000000" w:firstRow="0" w:lastRow="0" w:firstColumn="0" w:lastColumn="0" w:oddVBand="0" w:evenVBand="0" w:oddHBand="0" w:evenHBand="0" w:firstRowFirstColumn="0" w:firstRowLastColumn="0" w:lastRowFirstColumn="0" w:lastRowLastColumn="0"/>
            </w:pPr>
            <w:r>
              <w:t>GIA required unless gender impacts have already been assessed with a GEAP</w:t>
            </w:r>
          </w:p>
        </w:tc>
      </w:tr>
      <w:tr w:rsidR="00FF1C1B" w14:paraId="2EA0CE0E" w14:textId="77777777" w:rsidTr="003F4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993DD54" w14:textId="77777777" w:rsidR="00FF1C1B" w:rsidRDefault="00FF1C1B" w:rsidP="003F4B92">
            <w:r>
              <w:t>Corporate</w:t>
            </w:r>
          </w:p>
        </w:tc>
        <w:tc>
          <w:tcPr>
            <w:tcW w:w="0" w:type="dxa"/>
          </w:tcPr>
          <w:p w14:paraId="689EC963" w14:textId="77777777" w:rsidR="00FF1C1B" w:rsidRDefault="00FF1C1B" w:rsidP="003F4B92">
            <w:pPr>
              <w:cnfStyle w:val="000000010000" w:firstRow="0" w:lastRow="0" w:firstColumn="0" w:lastColumn="0" w:oddVBand="0" w:evenVBand="0" w:oddHBand="0" w:evenHBand="1" w:firstRowFirstColumn="0" w:firstRowLastColumn="0" w:lastRowFirstColumn="0" w:lastRowLastColumn="0"/>
            </w:pPr>
            <w:r>
              <w:t>GIA not required, but can be valuable</w:t>
            </w:r>
          </w:p>
        </w:tc>
      </w:tr>
      <w:tr w:rsidR="00FF1C1B" w14:paraId="51D147F5" w14:textId="77777777" w:rsidTr="003F4B92">
        <w:tc>
          <w:tcPr>
            <w:cnfStyle w:val="001000000000" w:firstRow="0" w:lastRow="0" w:firstColumn="1" w:lastColumn="0" w:oddVBand="0" w:evenVBand="0" w:oddHBand="0" w:evenHBand="0" w:firstRowFirstColumn="0" w:firstRowLastColumn="0" w:lastRowFirstColumn="0" w:lastRowLastColumn="0"/>
            <w:tcW w:w="0" w:type="dxa"/>
          </w:tcPr>
          <w:p w14:paraId="6A0DC8EC" w14:textId="77777777" w:rsidR="00FF1C1B" w:rsidRDefault="00FF1C1B" w:rsidP="003F4B92">
            <w:r>
              <w:t>Program Enabling Support (PES)</w:t>
            </w:r>
          </w:p>
        </w:tc>
        <w:tc>
          <w:tcPr>
            <w:tcW w:w="0" w:type="dxa"/>
          </w:tcPr>
          <w:p w14:paraId="2DE1FDC5" w14:textId="77777777" w:rsidR="00FF1C1B" w:rsidRDefault="00FF1C1B" w:rsidP="003F4B92">
            <w:pPr>
              <w:cnfStyle w:val="000000000000" w:firstRow="0" w:lastRow="0" w:firstColumn="0" w:lastColumn="0" w:oddVBand="0" w:evenVBand="0" w:oddHBand="0" w:evenHBand="0" w:firstRowFirstColumn="0" w:firstRowLastColumn="0" w:lastRowFirstColumn="0" w:lastRowLastColumn="0"/>
            </w:pPr>
            <w:r>
              <w:t>GIA required</w:t>
            </w:r>
          </w:p>
        </w:tc>
      </w:tr>
      <w:tr w:rsidR="00FF1C1B" w14:paraId="69C3046A" w14:textId="77777777" w:rsidTr="003F4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4C2503A" w14:textId="77777777" w:rsidR="00FF1C1B" w:rsidRDefault="00FF1C1B" w:rsidP="003F4B92">
            <w:proofErr w:type="spellStart"/>
            <w:r>
              <w:t>WoVG</w:t>
            </w:r>
            <w:proofErr w:type="spellEnd"/>
            <w:r>
              <w:t xml:space="preserve"> Capability</w:t>
            </w:r>
          </w:p>
        </w:tc>
        <w:tc>
          <w:tcPr>
            <w:tcW w:w="0" w:type="dxa"/>
          </w:tcPr>
          <w:p w14:paraId="0D8CB331" w14:textId="77777777" w:rsidR="00FF1C1B" w:rsidRDefault="00FF1C1B" w:rsidP="003F4B92">
            <w:pPr>
              <w:cnfStyle w:val="000000010000" w:firstRow="0" w:lastRow="0" w:firstColumn="0" w:lastColumn="0" w:oddVBand="0" w:evenVBand="0" w:oddHBand="0" w:evenHBand="1" w:firstRowFirstColumn="0" w:firstRowLastColumn="0" w:lastRowFirstColumn="0" w:lastRowLastColumn="0"/>
            </w:pPr>
            <w:r>
              <w:t>GIA required</w:t>
            </w:r>
          </w:p>
        </w:tc>
      </w:tr>
      <w:tr w:rsidR="00FF1C1B" w14:paraId="4FA31979" w14:textId="77777777" w:rsidTr="003F4B92">
        <w:tc>
          <w:tcPr>
            <w:cnfStyle w:val="001000000000" w:firstRow="0" w:lastRow="0" w:firstColumn="1" w:lastColumn="0" w:oddVBand="0" w:evenVBand="0" w:oddHBand="0" w:evenHBand="0" w:firstRowFirstColumn="0" w:firstRowLastColumn="0" w:lastRowFirstColumn="0" w:lastRowLastColumn="0"/>
            <w:tcW w:w="4508" w:type="dxa"/>
          </w:tcPr>
          <w:p w14:paraId="798D3763" w14:textId="77777777" w:rsidR="00FF1C1B" w:rsidRDefault="00FF1C1B" w:rsidP="003F4B92">
            <w:r>
              <w:t>Grant Administration</w:t>
            </w:r>
          </w:p>
        </w:tc>
        <w:tc>
          <w:tcPr>
            <w:tcW w:w="4508" w:type="dxa"/>
          </w:tcPr>
          <w:p w14:paraId="3992CBD9" w14:textId="77777777" w:rsidR="00FF1C1B" w:rsidRDefault="00FF1C1B" w:rsidP="003F4B92">
            <w:pPr>
              <w:cnfStyle w:val="000000000000" w:firstRow="0" w:lastRow="0" w:firstColumn="0" w:lastColumn="0" w:oddVBand="0" w:evenVBand="0" w:oddHBand="0" w:evenHBand="0" w:firstRowFirstColumn="0" w:firstRowLastColumn="0" w:lastRowFirstColumn="0" w:lastRowLastColumn="0"/>
            </w:pPr>
            <w:r>
              <w:t>GIA required</w:t>
            </w:r>
          </w:p>
        </w:tc>
      </w:tr>
    </w:tbl>
    <w:p w14:paraId="3F152866" w14:textId="77777777" w:rsidR="00FF1C1B" w:rsidRDefault="00FF1C1B" w:rsidP="00FF1C1B">
      <w:r>
        <w:t>While Program Budgeting does not apply to asset funding, the same principles should apply when it comes to the need for a GIA.</w:t>
      </w:r>
    </w:p>
    <w:p w14:paraId="29BBAB0C" w14:textId="0E7608CF" w:rsidR="00FF1C1B" w:rsidRPr="00682215" w:rsidRDefault="00252002" w:rsidP="00FF1C1B">
      <w:r w:rsidRPr="006C699F">
        <w:rPr>
          <w:rFonts w:eastAsia="Times New Roman" w:cstheme="minorHAnsi"/>
        </w:rPr>
        <w:t>GIAs must, where feasible, apply an intersectional approach to the analysis of gendered issues. This means that a GIA should consider how compounding intersections of disadvantage (including Aboriginality, age, disability, ethnicity, gender identity, race, religion, sexual orientation) may influence how different cohorts of people may be impacted by an initiative.</w:t>
      </w:r>
    </w:p>
    <w:p w14:paraId="1F9DA49B" w14:textId="77777777" w:rsidR="00FF1C1B" w:rsidRPr="00682215" w:rsidRDefault="00FF1C1B" w:rsidP="00FF1C1B">
      <w:pPr>
        <w:pStyle w:val="Heading3"/>
      </w:pPr>
      <w:r w:rsidRPr="00682215">
        <w:t>How to undertake a GIA</w:t>
      </w:r>
    </w:p>
    <w:p w14:paraId="7DC09F74" w14:textId="77777777" w:rsidR="00FF1C1B" w:rsidRPr="00682215" w:rsidRDefault="00FF1C1B" w:rsidP="00FF1C1B">
      <w:r w:rsidRPr="00682215">
        <w:t xml:space="preserve">Templates and guidance materials to help you undertake a GIA are available at: </w:t>
      </w:r>
      <w:hyperlink r:id="rId17" w:history="1">
        <w:r w:rsidRPr="00682215">
          <w:rPr>
            <w:rStyle w:val="Hyperlink"/>
          </w:rPr>
          <w:t>https://www.genderequalitycommission.vic.gov.au/gender-impact-assessment-toolkit</w:t>
        </w:r>
      </w:hyperlink>
    </w:p>
    <w:p w14:paraId="61B21A7A" w14:textId="77777777" w:rsidR="00FF1C1B" w:rsidRPr="00682215" w:rsidRDefault="00FF1C1B" w:rsidP="00FF1C1B">
      <w:pPr>
        <w:spacing w:before="0" w:after="0"/>
      </w:pPr>
      <w:r w:rsidRPr="00682215">
        <w:t xml:space="preserve">There are four key steps to undertaking a GIA: </w:t>
      </w:r>
    </w:p>
    <w:p w14:paraId="08AEA58C" w14:textId="77777777" w:rsidR="00FF1C1B" w:rsidRPr="00682215" w:rsidRDefault="00FF1C1B" w:rsidP="00FF1C1B">
      <w:pPr>
        <w:pStyle w:val="ListParagraph"/>
        <w:numPr>
          <w:ilvl w:val="0"/>
          <w:numId w:val="21"/>
        </w:numPr>
        <w:spacing w:line="240" w:lineRule="auto"/>
        <w:ind w:left="714" w:hanging="357"/>
        <w:contextualSpacing w:val="0"/>
        <w:rPr>
          <w:rFonts w:eastAsia="Times New Roman"/>
          <w:b/>
          <w:bCs/>
          <w:color w:val="auto"/>
        </w:rPr>
      </w:pPr>
      <w:r w:rsidRPr="00682215">
        <w:rPr>
          <w:rFonts w:eastAsia="Times New Roman"/>
        </w:rPr>
        <w:t>Consider how gender shapes the initiative - challenge assumptions you may have about whether your proposal affects people of different genders differently</w:t>
      </w:r>
    </w:p>
    <w:p w14:paraId="2F119C90" w14:textId="77777777" w:rsidR="00FF1C1B" w:rsidRPr="00682215" w:rsidRDefault="00FF1C1B" w:rsidP="00FF1C1B">
      <w:pPr>
        <w:pStyle w:val="ListParagraph"/>
        <w:numPr>
          <w:ilvl w:val="0"/>
          <w:numId w:val="21"/>
        </w:numPr>
        <w:spacing w:line="240" w:lineRule="auto"/>
        <w:ind w:left="714" w:hanging="357"/>
        <w:contextualSpacing w:val="0"/>
        <w:rPr>
          <w:rFonts w:eastAsia="Times New Roman"/>
        </w:rPr>
      </w:pPr>
      <w:r w:rsidRPr="00682215">
        <w:rPr>
          <w:rFonts w:eastAsia="Times New Roman"/>
        </w:rPr>
        <w:t>Understand your context - collect data to understand how gender shapes the policy context</w:t>
      </w:r>
    </w:p>
    <w:p w14:paraId="51B01CB3" w14:textId="77777777" w:rsidR="00FF1C1B" w:rsidRPr="00682215" w:rsidRDefault="00FF1C1B" w:rsidP="00FF1C1B">
      <w:pPr>
        <w:pStyle w:val="ListParagraph"/>
        <w:numPr>
          <w:ilvl w:val="0"/>
          <w:numId w:val="21"/>
        </w:numPr>
        <w:spacing w:line="240" w:lineRule="auto"/>
        <w:ind w:left="714" w:hanging="357"/>
        <w:contextualSpacing w:val="0"/>
        <w:rPr>
          <w:rFonts w:eastAsia="Times New Roman"/>
        </w:rPr>
      </w:pPr>
      <w:r w:rsidRPr="00682215">
        <w:rPr>
          <w:rFonts w:eastAsia="Times New Roman"/>
        </w:rPr>
        <w:t>Options analysis - consider alternative options for proposed initiative</w:t>
      </w:r>
    </w:p>
    <w:p w14:paraId="6C49D771" w14:textId="77777777" w:rsidR="00FF1C1B" w:rsidRPr="00682215" w:rsidRDefault="00FF1C1B" w:rsidP="00FF1C1B">
      <w:pPr>
        <w:pStyle w:val="ListParagraph"/>
        <w:numPr>
          <w:ilvl w:val="0"/>
          <w:numId w:val="21"/>
        </w:numPr>
        <w:spacing w:line="240" w:lineRule="auto"/>
        <w:ind w:left="714" w:hanging="357"/>
        <w:contextualSpacing w:val="0"/>
        <w:rPr>
          <w:rFonts w:eastAsia="Times New Roman"/>
        </w:rPr>
      </w:pPr>
      <w:r w:rsidRPr="00682215">
        <w:rPr>
          <w:rFonts w:eastAsia="Times New Roman"/>
        </w:rPr>
        <w:t>Make recommendations - select the most cost beneficial options that adapt to gendered differences in the design of the initiative</w:t>
      </w:r>
      <w:r>
        <w:rPr>
          <w:rFonts w:eastAsia="Times New Roman"/>
        </w:rPr>
        <w:t xml:space="preserve"> (noting that the cost-benefit analysis should consider gendered cost-benefits in addition to financial considerations)</w:t>
      </w:r>
    </w:p>
    <w:p w14:paraId="67DAF0C6" w14:textId="77777777" w:rsidR="00FF1C1B" w:rsidRPr="00682215" w:rsidRDefault="00FF1C1B" w:rsidP="00FF1C1B">
      <w:pPr>
        <w:spacing w:before="0" w:after="0"/>
      </w:pPr>
    </w:p>
    <w:p w14:paraId="3D5497D0" w14:textId="0DBC6BC8" w:rsidR="00631A52" w:rsidRPr="005D41BD" w:rsidRDefault="00631A52" w:rsidP="00724A5F">
      <w:pPr>
        <w:spacing w:before="0" w:after="0"/>
        <w:rPr>
          <w:b/>
        </w:rPr>
      </w:pPr>
      <w:r w:rsidRPr="005D41BD">
        <w:rPr>
          <w:b/>
        </w:rPr>
        <w:t>Tips</w:t>
      </w:r>
    </w:p>
    <w:p w14:paraId="2AEFAAD9" w14:textId="7965DC2F" w:rsidR="00724A5F" w:rsidRDefault="00724A5F" w:rsidP="00552E9B">
      <w:pPr>
        <w:pStyle w:val="ListParagraph"/>
        <w:numPr>
          <w:ilvl w:val="0"/>
          <w:numId w:val="29"/>
        </w:numPr>
        <w:spacing w:before="0" w:after="0"/>
        <w:ind w:left="720" w:hanging="294"/>
      </w:pPr>
      <w:r>
        <w:t xml:space="preserve">Outline any gender differences in benefits and outcomes of the proposed solution, including consideration of intersectionality i.e. intersectional analysis or consideration of compounding intersections of disadvantage (including Aboriginality, age, disability, ethnicity, gender identity, race, religion, sexual orientation). </w:t>
      </w:r>
    </w:p>
    <w:p w14:paraId="477A1C06" w14:textId="7FA60CE9" w:rsidR="00724A5F" w:rsidRDefault="00724A5F" w:rsidP="00552E9B">
      <w:pPr>
        <w:pStyle w:val="ListParagraph"/>
        <w:numPr>
          <w:ilvl w:val="0"/>
          <w:numId w:val="29"/>
        </w:numPr>
        <w:spacing w:before="0" w:after="0"/>
        <w:ind w:left="720" w:hanging="294"/>
      </w:pPr>
      <w:r>
        <w:t>Explain how gender considerations have shaped the design of the recommended solution – where possible provide expected numbers of people/groups who will benefit from this program or service.</w:t>
      </w:r>
    </w:p>
    <w:p w14:paraId="3292002D" w14:textId="4771983E" w:rsidR="00724A5F" w:rsidRDefault="00724A5F" w:rsidP="00552E9B">
      <w:pPr>
        <w:pStyle w:val="ListParagraph"/>
        <w:numPr>
          <w:ilvl w:val="0"/>
          <w:numId w:val="29"/>
        </w:numPr>
        <w:spacing w:before="0" w:after="0"/>
        <w:ind w:left="720" w:hanging="294"/>
      </w:pPr>
      <w:r>
        <w:t xml:space="preserve">For submissions that are expected to have a positive impact on gender equality, specify if the primary impact of the solution is on increasing gender equality, or if this is a secondary benefit that can be achieved alongside other outcomes. Provide specific quantifiable impacts if possible. </w:t>
      </w:r>
    </w:p>
    <w:p w14:paraId="565ED263" w14:textId="250714E2" w:rsidR="00724A5F" w:rsidRDefault="00724A5F" w:rsidP="00552E9B">
      <w:pPr>
        <w:pStyle w:val="ListParagraph"/>
        <w:numPr>
          <w:ilvl w:val="0"/>
          <w:numId w:val="29"/>
        </w:numPr>
        <w:spacing w:before="0" w:after="0"/>
        <w:ind w:left="720" w:hanging="294"/>
      </w:pPr>
      <w:r>
        <w:t>If your GIA indicates that the gender impacts are expected to be neutral, this must be supported by evidence, not assumed. Or, if your GIA indicates that the gender impacts are expected to be unknown this should only be for cases of insufficient data being available to ascertain gender impacts</w:t>
      </w:r>
    </w:p>
    <w:p w14:paraId="118E500B" w14:textId="35B46E89" w:rsidR="00724A5F" w:rsidRDefault="00724A5F" w:rsidP="00552E9B">
      <w:pPr>
        <w:pStyle w:val="ListParagraph"/>
        <w:numPr>
          <w:ilvl w:val="0"/>
          <w:numId w:val="29"/>
        </w:numPr>
        <w:spacing w:before="0" w:after="0"/>
        <w:ind w:left="720" w:hanging="294"/>
      </w:pPr>
      <w:r>
        <w:t>Highlight specific data sources that were used to understand how the problem or proposed solution impacts people of different genders.</w:t>
      </w:r>
    </w:p>
    <w:p w14:paraId="1BA16F78" w14:textId="5F409279" w:rsidR="00724A5F" w:rsidRDefault="00724A5F" w:rsidP="00552E9B">
      <w:pPr>
        <w:pStyle w:val="ListParagraph"/>
        <w:numPr>
          <w:ilvl w:val="0"/>
          <w:numId w:val="29"/>
        </w:numPr>
        <w:spacing w:before="0" w:after="0"/>
        <w:ind w:left="720" w:hanging="294"/>
      </w:pPr>
      <w:r>
        <w:t>Explain how the overall assessment of Gender Impact was concluded.</w:t>
      </w:r>
    </w:p>
    <w:p w14:paraId="1B3E0E49" w14:textId="0411501B" w:rsidR="00724A5F" w:rsidRDefault="00724A5F" w:rsidP="00552E9B">
      <w:pPr>
        <w:pStyle w:val="ListParagraph"/>
        <w:numPr>
          <w:ilvl w:val="0"/>
          <w:numId w:val="29"/>
        </w:numPr>
        <w:spacing w:before="0" w:after="0"/>
        <w:ind w:left="720" w:hanging="294"/>
      </w:pPr>
      <w:r>
        <w:t>Consider how intersectional factors like socio-economic status, cultural and language background, and LGBTIQ+ identity interact with gender impacts. For example, whether Aboriginal women experience the problem differently to non-Aboriginal women and how the recommended solution accounts for this.</w:t>
      </w:r>
    </w:p>
    <w:p w14:paraId="615EA639" w14:textId="3E9D599E" w:rsidR="00134F46" w:rsidRDefault="00134F46" w:rsidP="00552E9B">
      <w:pPr>
        <w:pStyle w:val="ListParagraph"/>
        <w:numPr>
          <w:ilvl w:val="0"/>
          <w:numId w:val="29"/>
        </w:numPr>
        <w:spacing w:before="0" w:after="0"/>
        <w:ind w:left="720" w:hanging="294"/>
      </w:pPr>
      <w:r w:rsidRPr="001036FD">
        <w:t>Include detail of impacts for scaled options and alternatives.</w:t>
      </w:r>
    </w:p>
    <w:p w14:paraId="56997AA6" w14:textId="77777777" w:rsidR="00310213" w:rsidRPr="00682215" w:rsidRDefault="00310213" w:rsidP="00FF1C1B">
      <w:pPr>
        <w:spacing w:before="0" w:after="0"/>
      </w:pPr>
    </w:p>
    <w:p w14:paraId="5553DD54" w14:textId="77777777" w:rsidR="00FF1C1B" w:rsidRPr="00682215" w:rsidRDefault="00FF1C1B" w:rsidP="00FF1C1B">
      <w:pPr>
        <w:spacing w:before="0" w:after="0"/>
        <w:rPr>
          <w:rFonts w:cstheme="minorHAnsi"/>
        </w:rPr>
      </w:pPr>
      <w:r w:rsidRPr="00682215">
        <w:t xml:space="preserve">For further assistance, please contact the Gender Responsive Budgeting team at </w:t>
      </w:r>
      <w:hyperlink r:id="rId18" w:history="1">
        <w:r w:rsidRPr="00682215">
          <w:rPr>
            <w:rStyle w:val="Hyperlink"/>
          </w:rPr>
          <w:t>genderresponsivebudgeting@dtf.vic.gov.au</w:t>
        </w:r>
      </w:hyperlink>
      <w:r w:rsidRPr="00682215">
        <w:t xml:space="preserve">. </w:t>
      </w:r>
    </w:p>
    <w:p w14:paraId="77612A86" w14:textId="08A027C5" w:rsidR="00207A83" w:rsidRDefault="00207A83" w:rsidP="00207A83">
      <w:pPr>
        <w:pStyle w:val="ListNumber"/>
        <w:ind w:left="0" w:firstLine="0"/>
      </w:pPr>
    </w:p>
    <w:p w14:paraId="3972F874" w14:textId="77777777" w:rsidR="00A44BD1" w:rsidRDefault="00A44BD1" w:rsidP="00207A83">
      <w:pPr>
        <w:pStyle w:val="ListNumber"/>
        <w:ind w:left="0" w:firstLine="0"/>
      </w:pPr>
    </w:p>
    <w:p w14:paraId="0D95E999" w14:textId="1FA1A585" w:rsidR="00AC6404" w:rsidRPr="00111BC6" w:rsidRDefault="00AC6404" w:rsidP="00AC6404">
      <w:pPr>
        <w:pStyle w:val="Heading1numbered"/>
      </w:pPr>
      <w:r w:rsidRPr="0004744E">
        <w:t xml:space="preserve">First Peoples Engagement </w:t>
      </w:r>
    </w:p>
    <w:sdt>
      <w:sdtPr>
        <w:rPr>
          <w:color w:val="2B579A"/>
          <w:shd w:val="clear" w:color="auto" w:fill="E6E6E6"/>
        </w:rPr>
        <w:alias w:val="Guidance"/>
        <w:tag w:val="guidance"/>
        <w:id w:val="-1596318793"/>
        <w:placeholder>
          <w:docPart w:val="34B53749C7614A1B9809680009CC3908"/>
        </w:placeholder>
      </w:sdtPr>
      <w:sdtEndPr>
        <w:rPr>
          <w:color w:val="auto"/>
          <w:shd w:val="clear" w:color="auto" w:fill="auto"/>
        </w:rPr>
      </w:sdtEndPr>
      <w:sdtContent>
        <w:p w14:paraId="4B2F508C" w14:textId="77777777" w:rsidR="00AC6404" w:rsidRDefault="00AC6404" w:rsidP="00AC6404">
          <w:pPr>
            <w:pStyle w:val="GuidanceBullet1"/>
          </w:pPr>
          <w:r w:rsidRPr="00A43B26">
            <w:t xml:space="preserve">​​All submissions that directly affect or involve First Peoples must indicate the level of engagement which has occurred in developing the proposal. As a guide, the table below provides a reference in accordance with </w:t>
          </w:r>
          <w:r>
            <w:t>Victorian Aboriginal Affairs Framework (</w:t>
          </w:r>
          <w:r w:rsidRPr="00A43B26">
            <w:t>VAAF</w:t>
          </w:r>
          <w:r>
            <w:t>)</w:t>
          </w:r>
          <w:r w:rsidRPr="00A43B26">
            <w:t>’s continuum towards self-determination.  </w:t>
          </w:r>
        </w:p>
        <w:p w14:paraId="7131ED03" w14:textId="77777777" w:rsidR="00AC6404" w:rsidRPr="00A43B26" w:rsidRDefault="00AC6404" w:rsidP="00AC6404">
          <w:pPr>
            <w:pStyle w:val="GuidanceBullet1"/>
          </w:pPr>
          <w:r w:rsidRPr="00A43B26">
            <w:t>​Departments are expected to indicate the level of engagement and provide additional information beyond what is included in the table including how the engagement took place and how the views of First Peoples informed the submission.  </w:t>
          </w:r>
        </w:p>
        <w:p w14:paraId="235E8A59" w14:textId="77777777" w:rsidR="00AC6404" w:rsidRPr="00A43B26" w:rsidRDefault="00AC6404" w:rsidP="00AC6404">
          <w:pPr>
            <w:pStyle w:val="GuidanceBullet1"/>
          </w:pPr>
          <w:r w:rsidRPr="00A43B26">
            <w:t>​Departments should also indicate if the submission was developed as part of a formal partnership arrangement with First Peoples, Aboriginal Community Controlled Organisations (ACCOs) and Aboriginal Governance Forums.  </w:t>
          </w:r>
        </w:p>
        <w:p w14:paraId="7CEE2E5A" w14:textId="77777777" w:rsidR="00AC6404" w:rsidRDefault="00AC6404" w:rsidP="00AC6404">
          <w:pPr>
            <w:pStyle w:val="GuidanceBullet1"/>
          </w:pPr>
          <w:r w:rsidRPr="00A43B26">
            <w:t>​The submission should outline whether the First Peoples Assembly of Victoria has been engaged and confirm that the proposal is in line with Victoria’s Treaty obligations and Treaty process for Statewide Treaty and local Traditional Owner Treaties. </w:t>
          </w:r>
        </w:p>
        <w:p w14:paraId="58753179" w14:textId="77777777" w:rsidR="00AC6404" w:rsidRPr="004069FF" w:rsidRDefault="00AC6404" w:rsidP="00AC6404">
          <w:pPr>
            <w:pStyle w:val="GuidanceBullet1"/>
          </w:pPr>
          <w:r w:rsidRPr="00F06F06">
            <w:t xml:space="preserve">DTF will collect information through the budget process to understand how departments are engaging with First </w:t>
          </w:r>
          <w:r w:rsidRPr="00A43B26">
            <w:t>Peoples</w:t>
          </w:r>
          <w:r w:rsidRPr="00F06F06">
            <w:t xml:space="preserve"> and how </w:t>
          </w:r>
          <w:r w:rsidRPr="00A43B26">
            <w:t>current</w:t>
          </w:r>
          <w:r w:rsidRPr="00F06F06">
            <w:t xml:space="preserve"> structures and processes are facilitating self-determination.</w:t>
          </w:r>
          <w:r w:rsidRPr="00A43B26">
            <w:t> </w:t>
          </w:r>
          <w:r w:rsidRPr="004069FF">
            <w:tab/>
          </w:r>
        </w:p>
        <w:tbl>
          <w:tblPr>
            <w:tblStyle w:val="PlainTable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firstRow="1" w:lastRow="1" w:firstColumn="1" w:lastColumn="0" w:noHBand="1" w:noVBand="1"/>
          </w:tblPr>
          <w:tblGrid>
            <w:gridCol w:w="1555"/>
            <w:gridCol w:w="2887"/>
            <w:gridCol w:w="2596"/>
            <w:gridCol w:w="2596"/>
          </w:tblGrid>
          <w:tr w:rsidR="00AC6404" w:rsidRPr="004069FF" w14:paraId="71FA04B6" w14:textId="77777777">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555" w:type="dxa"/>
                <w:shd w:val="clear" w:color="auto" w:fill="C2EBFA" w:themeFill="background2"/>
              </w:tcPr>
              <w:p w14:paraId="22F7D5B0" w14:textId="77777777" w:rsidR="00AC6404" w:rsidRPr="00A0792A" w:rsidRDefault="00AC6404">
                <w:pPr>
                  <w:spacing w:beforeLines="40" w:before="96" w:afterLines="40" w:after="96"/>
                  <w:jc w:val="center"/>
                  <w:rPr>
                    <w:sz w:val="17"/>
                    <w:szCs w:val="17"/>
                  </w:rPr>
                </w:pPr>
                <w:r w:rsidRPr="00A0792A">
                  <w:rPr>
                    <w:sz w:val="17"/>
                    <w:szCs w:val="17"/>
                  </w:rPr>
                  <w:t>Level of Engagement</w:t>
                </w:r>
              </w:p>
            </w:tc>
            <w:tc>
              <w:tcPr>
                <w:tcW w:w="2887" w:type="dxa"/>
                <w:shd w:val="clear" w:color="auto" w:fill="C2EBFA" w:themeFill="background2"/>
              </w:tcPr>
              <w:p w14:paraId="18CD758A" w14:textId="77777777" w:rsidR="00AC6404" w:rsidRPr="00A0792A" w:rsidRDefault="00AC6404">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sz w:val="17"/>
                    <w:szCs w:val="17"/>
                  </w:rPr>
                </w:pPr>
                <w:r w:rsidRPr="00A0792A">
                  <w:rPr>
                    <w:sz w:val="17"/>
                    <w:szCs w:val="17"/>
                  </w:rPr>
                  <w:t>Participation description</w:t>
                </w:r>
              </w:p>
            </w:tc>
            <w:tc>
              <w:tcPr>
                <w:tcW w:w="0" w:type="dxa"/>
                <w:shd w:val="clear" w:color="auto" w:fill="C2EBFA" w:themeFill="background2"/>
              </w:tcPr>
              <w:p w14:paraId="1D22F63E" w14:textId="77777777" w:rsidR="00AC6404" w:rsidRPr="00A0792A" w:rsidRDefault="00AC6404">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sz w:val="17"/>
                    <w:szCs w:val="17"/>
                  </w:rPr>
                </w:pPr>
                <w:r w:rsidRPr="00A0792A">
                  <w:rPr>
                    <w:sz w:val="17"/>
                    <w:szCs w:val="17"/>
                  </w:rPr>
                  <w:t xml:space="preserve">Role </w:t>
                </w:r>
                <w:r w:rsidRPr="005B74D5">
                  <w:rPr>
                    <w:sz w:val="17"/>
                    <w:szCs w:val="17"/>
                  </w:rPr>
                  <w:t xml:space="preserve">of </w:t>
                </w:r>
                <w:r w:rsidRPr="00F06F06">
                  <w:rPr>
                    <w:sz w:val="17"/>
                    <w:szCs w:val="17"/>
                  </w:rPr>
                  <w:t>First Peoples</w:t>
                </w:r>
              </w:p>
            </w:tc>
            <w:tc>
              <w:tcPr>
                <w:tcW w:w="0" w:type="dxa"/>
                <w:shd w:val="clear" w:color="auto" w:fill="C2EBFA" w:themeFill="background2"/>
              </w:tcPr>
              <w:p w14:paraId="614D6A75" w14:textId="77777777" w:rsidR="00AC6404" w:rsidRPr="00A0792A" w:rsidRDefault="00AC6404">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sz w:val="17"/>
                    <w:szCs w:val="17"/>
                  </w:rPr>
                </w:pPr>
                <w:r w:rsidRPr="00A0792A">
                  <w:rPr>
                    <w:sz w:val="17"/>
                    <w:szCs w:val="17"/>
                  </w:rPr>
                  <w:t>Engagement Method</w:t>
                </w:r>
              </w:p>
            </w:tc>
          </w:tr>
          <w:tr w:rsidR="00AC6404" w:rsidRPr="004069FF" w14:paraId="354C9A16" w14:textId="77777777">
            <w:trPr>
              <w:trHeight w:val="279"/>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1F939DC6" w14:textId="77777777" w:rsidR="00AC6404" w:rsidRPr="00F06F06" w:rsidRDefault="00AC6404">
                <w:pPr>
                  <w:pStyle w:val="Tabletext"/>
                  <w:spacing w:beforeLines="40" w:before="96" w:afterLines="40" w:after="96"/>
                  <w:rPr>
                    <w:rFonts w:asciiTheme="majorHAnsi" w:hAnsiTheme="majorHAnsi" w:cstheme="majorHAnsi"/>
                    <w:b w:val="0"/>
                    <w:bCs w:val="0"/>
                    <w:szCs w:val="17"/>
                  </w:rPr>
                </w:pPr>
                <w:r w:rsidRPr="00A8496E">
                  <w:rPr>
                    <w:rFonts w:asciiTheme="majorHAnsi" w:hAnsiTheme="majorHAnsi" w:cstheme="majorHAnsi"/>
                    <w:szCs w:val="17"/>
                  </w:rPr>
                  <w:t>Inform</w:t>
                </w:r>
              </w:p>
            </w:tc>
            <w:tc>
              <w:tcPr>
                <w:tcW w:w="2887" w:type="dxa"/>
              </w:tcPr>
              <w:p w14:paraId="7D187EE1"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F06F06">
                  <w:rPr>
                    <w:sz w:val="17"/>
                    <w:szCs w:val="17"/>
                  </w:rPr>
                  <w:t>Provide First Peoples</w:t>
                </w:r>
                <w:r>
                  <w:t xml:space="preserve"> </w:t>
                </w:r>
                <w:r w:rsidRPr="00A0792A">
                  <w:rPr>
                    <w:sz w:val="17"/>
                    <w:szCs w:val="17"/>
                  </w:rPr>
                  <w:t xml:space="preserve">with </w:t>
                </w:r>
                <w:r w:rsidRPr="00F06F06">
                  <w:rPr>
                    <w:sz w:val="17"/>
                    <w:szCs w:val="17"/>
                  </w:rPr>
                  <w:t>information to assist them in understanding the problem</w:t>
                </w:r>
                <w:r w:rsidRPr="00A0792A">
                  <w:rPr>
                    <w:sz w:val="17"/>
                    <w:szCs w:val="17"/>
                  </w:rPr>
                  <w:t xml:space="preserve"> and recommend</w:t>
                </w:r>
                <w:r w:rsidRPr="00F06F06">
                  <w:rPr>
                    <w:sz w:val="17"/>
                    <w:szCs w:val="17"/>
                  </w:rPr>
                  <w:t xml:space="preserve"> </w:t>
                </w:r>
                <w:r w:rsidRPr="00A0792A">
                  <w:rPr>
                    <w:sz w:val="17"/>
                    <w:szCs w:val="17"/>
                  </w:rPr>
                  <w:t xml:space="preserve">alternative </w:t>
                </w:r>
                <w:r w:rsidRPr="00F06F06">
                  <w:rPr>
                    <w:sz w:val="17"/>
                    <w:szCs w:val="17"/>
                  </w:rPr>
                  <w:t>solution</w:t>
                </w:r>
                <w:r w:rsidRPr="00A0792A">
                  <w:rPr>
                    <w:sz w:val="17"/>
                    <w:szCs w:val="17"/>
                  </w:rPr>
                  <w:t>s</w:t>
                </w:r>
              </w:p>
            </w:tc>
            <w:tc>
              <w:tcPr>
                <w:tcW w:w="2596" w:type="dxa"/>
              </w:tcPr>
              <w:p w14:paraId="2FC888A8"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F06F06">
                  <w:rPr>
                    <w:sz w:val="17"/>
                    <w:szCs w:val="17"/>
                  </w:rPr>
                  <w:t>Listen</w:t>
                </w:r>
              </w:p>
            </w:tc>
            <w:tc>
              <w:tcPr>
                <w:tcW w:w="2596" w:type="dxa"/>
              </w:tcPr>
              <w:p w14:paraId="3B2F65E1"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F06F06">
                  <w:rPr>
                    <w:sz w:val="17"/>
                    <w:szCs w:val="17"/>
                  </w:rPr>
                  <w:t xml:space="preserve">Ministerial Media Release. </w:t>
                </w:r>
              </w:p>
              <w:p w14:paraId="24644234" w14:textId="77777777" w:rsidR="00AC6404" w:rsidRPr="00A0792A"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F06F06">
                  <w:rPr>
                    <w:sz w:val="17"/>
                    <w:szCs w:val="17"/>
                  </w:rPr>
                  <w:t xml:space="preserve">Department’s website </w:t>
                </w:r>
              </w:p>
            </w:tc>
          </w:tr>
          <w:tr w:rsidR="00AC6404" w:rsidRPr="004069FF" w14:paraId="00E90684" w14:textId="77777777">
            <w:trPr>
              <w:trHeight w:val="336"/>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56C0059F" w14:textId="77777777" w:rsidR="00AC6404" w:rsidRPr="00F06F06" w:rsidRDefault="00AC6404">
                <w:pPr>
                  <w:pStyle w:val="Tabletext"/>
                  <w:spacing w:beforeLines="40" w:before="96" w:afterLines="40" w:after="96"/>
                  <w:rPr>
                    <w:rFonts w:asciiTheme="majorHAnsi" w:hAnsiTheme="majorHAnsi" w:cstheme="majorHAnsi"/>
                    <w:b w:val="0"/>
                    <w:bCs w:val="0"/>
                    <w:szCs w:val="17"/>
                  </w:rPr>
                </w:pPr>
                <w:r w:rsidRPr="00A8496E">
                  <w:rPr>
                    <w:szCs w:val="17"/>
                  </w:rPr>
                  <w:t>Consult</w:t>
                </w:r>
              </w:p>
            </w:tc>
            <w:tc>
              <w:tcPr>
                <w:tcW w:w="2887" w:type="dxa"/>
              </w:tcPr>
              <w:p w14:paraId="1FA4977B"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Seek feedback on alternatives and solutions to the problem</w:t>
                </w:r>
              </w:p>
            </w:tc>
            <w:tc>
              <w:tcPr>
                <w:tcW w:w="2596" w:type="dxa"/>
              </w:tcPr>
              <w:p w14:paraId="085400AF"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F06F06">
                  <w:rPr>
                    <w:sz w:val="17"/>
                    <w:szCs w:val="17"/>
                  </w:rPr>
                  <w:t>Contribute</w:t>
                </w:r>
              </w:p>
            </w:tc>
            <w:tc>
              <w:tcPr>
                <w:tcW w:w="2596" w:type="dxa"/>
              </w:tcPr>
              <w:p w14:paraId="19AAF97E"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O</w:t>
                </w:r>
                <w:r w:rsidRPr="00F06F06">
                  <w:rPr>
                    <w:sz w:val="17"/>
                    <w:szCs w:val="17"/>
                  </w:rPr>
                  <w:t xml:space="preserve">pen community forums </w:t>
                </w:r>
              </w:p>
              <w:p w14:paraId="4F3207ED" w14:textId="77777777" w:rsidR="00AC6404"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O</w:t>
                </w:r>
                <w:r w:rsidRPr="00F06F06">
                  <w:rPr>
                    <w:sz w:val="17"/>
                    <w:szCs w:val="17"/>
                  </w:rPr>
                  <w:t xml:space="preserve">pen workshops </w:t>
                </w:r>
              </w:p>
              <w:p w14:paraId="4D66EEEE" w14:textId="77777777" w:rsidR="00AC6404" w:rsidRPr="00A0792A"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w:t>
                </w:r>
                <w:r w:rsidRPr="00F06F06">
                  <w:rPr>
                    <w:sz w:val="17"/>
                    <w:szCs w:val="17"/>
                  </w:rPr>
                  <w:t>ritten submission</w:t>
                </w:r>
              </w:p>
            </w:tc>
          </w:tr>
          <w:tr w:rsidR="00AC6404" w:rsidRPr="004069FF" w14:paraId="5B194120" w14:textId="77777777">
            <w:trPr>
              <w:trHeight w:val="336"/>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06ABB891" w14:textId="77777777" w:rsidR="00AC6404" w:rsidRPr="00F06F06" w:rsidRDefault="00AC6404">
                <w:pPr>
                  <w:pStyle w:val="Tabletext"/>
                  <w:spacing w:beforeLines="40" w:before="96" w:afterLines="40" w:after="96"/>
                  <w:rPr>
                    <w:b w:val="0"/>
                    <w:bCs w:val="0"/>
                    <w:szCs w:val="17"/>
                  </w:rPr>
                </w:pPr>
                <w:r w:rsidRPr="00A8496E">
                  <w:rPr>
                    <w:szCs w:val="17"/>
                  </w:rPr>
                  <w:t>Involve</w:t>
                </w:r>
              </w:p>
            </w:tc>
            <w:tc>
              <w:tcPr>
                <w:tcW w:w="2887" w:type="dxa"/>
              </w:tcPr>
              <w:p w14:paraId="04D45884"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 xml:space="preserve">Work directly with </w:t>
                </w:r>
                <w:r w:rsidRPr="00F7092C">
                  <w:rPr>
                    <w:sz w:val="17"/>
                    <w:szCs w:val="17"/>
                  </w:rPr>
                  <w:t>First Peoples</w:t>
                </w:r>
                <w:r>
                  <w:t xml:space="preserve"> </w:t>
                </w:r>
                <w:r w:rsidRPr="00A0792A">
                  <w:rPr>
                    <w:sz w:val="17"/>
                    <w:szCs w:val="17"/>
                  </w:rPr>
                  <w:t xml:space="preserve">to ensure community concerns and aspirations are directly reflected in the recommended solution </w:t>
                </w:r>
              </w:p>
            </w:tc>
            <w:tc>
              <w:tcPr>
                <w:tcW w:w="2596" w:type="dxa"/>
              </w:tcPr>
              <w:p w14:paraId="615463A8"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F06F06">
                  <w:rPr>
                    <w:sz w:val="17"/>
                    <w:szCs w:val="17"/>
                  </w:rPr>
                  <w:t>Participate</w:t>
                </w:r>
              </w:p>
            </w:tc>
            <w:tc>
              <w:tcPr>
                <w:tcW w:w="2596" w:type="dxa"/>
              </w:tcPr>
              <w:p w14:paraId="7D7FFFDA" w14:textId="77777777" w:rsidR="00AC6404" w:rsidRPr="00A0792A"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Committees</w:t>
                </w:r>
              </w:p>
              <w:p w14:paraId="32875238" w14:textId="77777777" w:rsidR="00AC6404" w:rsidRPr="00A0792A"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Community Leaders</w:t>
                </w:r>
              </w:p>
              <w:p w14:paraId="0C6A0A49" w14:textId="77777777" w:rsidR="00AC6404" w:rsidRPr="00A0792A"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F06F06">
                  <w:rPr>
                    <w:sz w:val="17"/>
                    <w:szCs w:val="17"/>
                  </w:rPr>
                  <w:t>one-on-one meetings</w:t>
                </w:r>
              </w:p>
            </w:tc>
          </w:tr>
          <w:tr w:rsidR="00AC6404" w:rsidRPr="004069FF" w14:paraId="33840929" w14:textId="77777777">
            <w:trPr>
              <w:trHeight w:val="336"/>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72E441B6" w14:textId="77777777" w:rsidR="00AC6404" w:rsidRPr="00F06F06" w:rsidRDefault="00AC6404">
                <w:pPr>
                  <w:pStyle w:val="Tabletext"/>
                  <w:spacing w:beforeLines="40" w:before="96" w:afterLines="40" w:after="96"/>
                  <w:rPr>
                    <w:b w:val="0"/>
                    <w:bCs w:val="0"/>
                    <w:szCs w:val="17"/>
                  </w:rPr>
                </w:pPr>
                <w:r w:rsidRPr="00A8496E">
                  <w:rPr>
                    <w:szCs w:val="17"/>
                  </w:rPr>
                  <w:t>Partnership</w:t>
                </w:r>
              </w:p>
            </w:tc>
            <w:tc>
              <w:tcPr>
                <w:tcW w:w="2887" w:type="dxa"/>
              </w:tcPr>
              <w:p w14:paraId="39B9E232"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 xml:space="preserve">To partner with </w:t>
                </w:r>
                <w:r w:rsidRPr="00F7092C">
                  <w:rPr>
                    <w:sz w:val="17"/>
                    <w:szCs w:val="17"/>
                  </w:rPr>
                  <w:t>First Peoples</w:t>
                </w:r>
                <w:r w:rsidRPr="00A0792A">
                  <w:rPr>
                    <w:sz w:val="17"/>
                    <w:szCs w:val="17"/>
                  </w:rPr>
                  <w:t xml:space="preserve"> in each aspect of the process including identifying the problem, defining alternative solutions and developing the recommended solution</w:t>
                </w:r>
              </w:p>
            </w:tc>
            <w:tc>
              <w:tcPr>
                <w:tcW w:w="2596" w:type="dxa"/>
              </w:tcPr>
              <w:p w14:paraId="2B277467" w14:textId="77777777" w:rsidR="00AC6404" w:rsidRPr="00F06F06"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F06F06">
                  <w:rPr>
                    <w:sz w:val="17"/>
                    <w:szCs w:val="17"/>
                  </w:rPr>
                  <w:t>Partner</w:t>
                </w:r>
              </w:p>
            </w:tc>
            <w:tc>
              <w:tcPr>
                <w:tcW w:w="2596" w:type="dxa"/>
              </w:tcPr>
              <w:p w14:paraId="23A95DE6" w14:textId="77777777" w:rsidR="00AC6404" w:rsidRPr="00A0792A" w:rsidRDefault="00AC6404">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Co-design</w:t>
                </w:r>
              </w:p>
            </w:tc>
          </w:tr>
          <w:tr w:rsidR="00AC6404" w:rsidRPr="004069FF" w14:paraId="0A16DDEC" w14:textId="77777777">
            <w:trPr>
              <w:cnfStyle w:val="010000000000" w:firstRow="0" w:lastRow="1"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6B60441B" w14:textId="77777777" w:rsidR="00AC6404" w:rsidRPr="00F06F06" w:rsidRDefault="00AC6404">
                <w:pPr>
                  <w:pStyle w:val="Tabletext"/>
                  <w:spacing w:beforeLines="40" w:before="96" w:afterLines="40" w:after="96"/>
                  <w:rPr>
                    <w:rFonts w:asciiTheme="majorHAnsi" w:hAnsiTheme="majorHAnsi" w:cstheme="majorHAnsi"/>
                    <w:b w:val="0"/>
                    <w:bCs w:val="0"/>
                    <w:szCs w:val="17"/>
                  </w:rPr>
                </w:pPr>
                <w:r w:rsidRPr="00A8496E">
                  <w:rPr>
                    <w:szCs w:val="17"/>
                  </w:rPr>
                  <w:t>Community-led decision-making)</w:t>
                </w:r>
              </w:p>
            </w:tc>
            <w:tc>
              <w:tcPr>
                <w:tcW w:w="2887" w:type="dxa"/>
              </w:tcPr>
              <w:p w14:paraId="6721B452" w14:textId="77777777" w:rsidR="00AC6404" w:rsidRPr="00843EAA" w:rsidRDefault="00AC6404">
                <w:pPr>
                  <w:spacing w:beforeLines="40" w:before="96" w:afterLines="40" w:after="96"/>
                  <w:cnfStyle w:val="010000000000" w:firstRow="0" w:lastRow="1" w:firstColumn="0" w:lastColumn="0" w:oddVBand="0" w:evenVBand="0" w:oddHBand="0" w:evenHBand="0" w:firstRowFirstColumn="0" w:firstRowLastColumn="0" w:lastRowFirstColumn="0" w:lastRowLastColumn="0"/>
                  <w:rPr>
                    <w:b w:val="0"/>
                    <w:bCs w:val="0"/>
                    <w:sz w:val="17"/>
                    <w:szCs w:val="17"/>
                  </w:rPr>
                </w:pPr>
                <w:r w:rsidRPr="00843EAA">
                  <w:rPr>
                    <w:sz w:val="17"/>
                    <w:szCs w:val="17"/>
                  </w:rPr>
                  <w:t>To place final decision</w:t>
                </w:r>
                <w:r w:rsidRPr="00843EAA">
                  <w:rPr>
                    <w:b w:val="0"/>
                    <w:bCs w:val="0"/>
                    <w:sz w:val="17"/>
                    <w:szCs w:val="17"/>
                  </w:rPr>
                  <w:t>-</w:t>
                </w:r>
                <w:r w:rsidRPr="00843EAA">
                  <w:rPr>
                    <w:sz w:val="17"/>
                    <w:szCs w:val="17"/>
                  </w:rPr>
                  <w:t>making on First Peoples communities</w:t>
                </w:r>
              </w:p>
            </w:tc>
            <w:tc>
              <w:tcPr>
                <w:tcW w:w="2596" w:type="dxa"/>
              </w:tcPr>
              <w:p w14:paraId="130F9904" w14:textId="77777777" w:rsidR="00AC6404" w:rsidRPr="00843EAA" w:rsidRDefault="00AC6404">
                <w:pPr>
                  <w:spacing w:beforeLines="40" w:before="96" w:afterLines="40" w:after="96"/>
                  <w:cnfStyle w:val="010000000000" w:firstRow="0" w:lastRow="1" w:firstColumn="0" w:lastColumn="0" w:oddVBand="0" w:evenVBand="0" w:oddHBand="0" w:evenHBand="0" w:firstRowFirstColumn="0" w:firstRowLastColumn="0" w:lastRowFirstColumn="0" w:lastRowLastColumn="0"/>
                  <w:rPr>
                    <w:b w:val="0"/>
                    <w:bCs w:val="0"/>
                    <w:sz w:val="17"/>
                    <w:szCs w:val="17"/>
                  </w:rPr>
                </w:pPr>
                <w:r w:rsidRPr="00843EAA">
                  <w:rPr>
                    <w:sz w:val="17"/>
                    <w:szCs w:val="17"/>
                  </w:rPr>
                  <w:t>Decide</w:t>
                </w:r>
              </w:p>
            </w:tc>
            <w:tc>
              <w:tcPr>
                <w:tcW w:w="2596" w:type="dxa"/>
              </w:tcPr>
              <w:p w14:paraId="586DDF28" w14:textId="77777777" w:rsidR="00AC6404" w:rsidRPr="00A8496E" w:rsidRDefault="00AC6404">
                <w:pPr>
                  <w:spacing w:beforeLines="40" w:before="96" w:afterLines="40" w:after="96"/>
                  <w:cnfStyle w:val="010000000000" w:firstRow="0" w:lastRow="1" w:firstColumn="0" w:lastColumn="0" w:oddVBand="0" w:evenVBand="0" w:oddHBand="0" w:evenHBand="0" w:firstRowFirstColumn="0" w:firstRowLastColumn="0" w:lastRowFirstColumn="0" w:lastRowLastColumn="0"/>
                  <w:rPr>
                    <w:b w:val="0"/>
                    <w:bCs w:val="0"/>
                    <w:sz w:val="17"/>
                    <w:szCs w:val="17"/>
                  </w:rPr>
                </w:pPr>
                <w:r w:rsidRPr="00A8496E">
                  <w:rPr>
                    <w:b w:val="0"/>
                    <w:bCs w:val="0"/>
                    <w:sz w:val="17"/>
                    <w:szCs w:val="17"/>
                  </w:rPr>
                  <w:t>Communicate final decision to departments</w:t>
                </w:r>
              </w:p>
            </w:tc>
          </w:tr>
        </w:tbl>
        <w:p w14:paraId="2A4C58CA" w14:textId="77777777" w:rsidR="00AC6404" w:rsidRDefault="00571850" w:rsidP="00AC6404">
          <w:pPr>
            <w:pStyle w:val="GuidanceBullet1"/>
            <w:numPr>
              <w:ilvl w:val="0"/>
              <w:numId w:val="0"/>
            </w:numPr>
            <w:tabs>
              <w:tab w:val="right" w:pos="9638"/>
            </w:tabs>
          </w:pPr>
        </w:p>
      </w:sdtContent>
    </w:sdt>
    <w:p w14:paraId="72D66D96" w14:textId="77777777" w:rsidR="000E6E55" w:rsidRDefault="000E6E55" w:rsidP="00F637C7">
      <w:pPr>
        <w:pStyle w:val="Heading1numbered"/>
        <w:numPr>
          <w:ilvl w:val="0"/>
          <w:numId w:val="0"/>
        </w:numPr>
        <w:ind w:left="567"/>
      </w:pPr>
    </w:p>
    <w:p w14:paraId="7EE7D0B2" w14:textId="14FA1AA5" w:rsidR="005B5F4F" w:rsidRDefault="005B5F4F" w:rsidP="005B5F4F">
      <w:pPr>
        <w:pStyle w:val="Heading1numbered"/>
      </w:pPr>
      <w:r>
        <w:t>Climate Action Assessment</w:t>
      </w:r>
    </w:p>
    <w:p w14:paraId="08C538F7" w14:textId="592F7230" w:rsidR="009341B7" w:rsidRDefault="009341B7" w:rsidP="000F1DB8">
      <w:pPr>
        <w:rPr>
          <w:rFonts w:ascii="Arial" w:eastAsia="Arial" w:hAnsi="Arial" w:cs="Arial"/>
          <w:b/>
        </w:rPr>
      </w:pPr>
      <w:r w:rsidRPr="00656D2C">
        <w:rPr>
          <w:rFonts w:ascii="Arial" w:eastAsia="Arial" w:hAnsi="Arial" w:cs="Arial"/>
        </w:rPr>
        <w:t xml:space="preserve">The Climate Action Assessment process will gather information on the potential climate action impacts of Government policies and processes brought forward for annual budget considerations. All business cases must include an attached </w:t>
      </w:r>
      <w:r w:rsidRPr="00656D2C">
        <w:rPr>
          <w:rFonts w:ascii="Arial" w:eastAsia="Arial" w:hAnsi="Arial" w:cs="Arial"/>
          <w:b/>
        </w:rPr>
        <w:t xml:space="preserve">Climate </w:t>
      </w:r>
      <w:r w:rsidRPr="00656D2C">
        <w:rPr>
          <w:rFonts w:ascii="Arial" w:eastAsia="Arial" w:hAnsi="Arial" w:cs="Arial"/>
          <w:b/>
          <w:bCs/>
        </w:rPr>
        <w:t>Action</w:t>
      </w:r>
      <w:r w:rsidRPr="00656D2C">
        <w:rPr>
          <w:rFonts w:ascii="Arial" w:eastAsia="Arial" w:hAnsi="Arial" w:cs="Arial"/>
          <w:b/>
        </w:rPr>
        <w:t xml:space="preserve"> Screening and Assessment Template</w:t>
      </w:r>
      <w:r w:rsidR="00FF3353">
        <w:rPr>
          <w:rFonts w:ascii="Arial" w:eastAsia="Arial" w:hAnsi="Arial" w:cs="Arial"/>
          <w:b/>
        </w:rPr>
        <w:t>.</w:t>
      </w:r>
    </w:p>
    <w:p w14:paraId="31D5F0FA" w14:textId="4783078B" w:rsidR="000F1DB8" w:rsidRPr="00656D2C" w:rsidRDefault="000F1DB8" w:rsidP="000F1DB8">
      <w:r w:rsidRPr="00656D2C">
        <w:t xml:space="preserve">There are two </w:t>
      </w:r>
      <w:r w:rsidR="003E133D" w:rsidRPr="00E95436">
        <w:t>sections to</w:t>
      </w:r>
      <w:r w:rsidRPr="00656D2C">
        <w:t xml:space="preserve"> this template:</w:t>
      </w:r>
    </w:p>
    <w:p w14:paraId="778A7E09" w14:textId="7B8507AC" w:rsidR="000F1DB8" w:rsidRPr="00E95436" w:rsidRDefault="000F1DB8" w:rsidP="00240735">
      <w:pPr>
        <w:pStyle w:val="ListParagraph"/>
        <w:numPr>
          <w:ilvl w:val="0"/>
          <w:numId w:val="26"/>
        </w:numPr>
        <w:spacing w:before="0" w:after="0"/>
        <w:rPr>
          <w:rFonts w:ascii="Arial" w:eastAsia="Arial" w:hAnsi="Arial" w:cs="Arial"/>
        </w:rPr>
      </w:pPr>
      <w:r w:rsidRPr="00656D2C">
        <w:rPr>
          <w:rFonts w:ascii="Arial" w:eastAsia="Arial" w:hAnsi="Arial" w:cs="Arial"/>
        </w:rPr>
        <w:t xml:space="preserve">A Climate Action Screening </w:t>
      </w:r>
      <w:r w:rsidR="00F56FD7" w:rsidRPr="00656D2C">
        <w:rPr>
          <w:rFonts w:ascii="Arial" w:eastAsia="Arial" w:hAnsi="Arial" w:cs="Arial"/>
        </w:rPr>
        <w:t>(</w:t>
      </w:r>
      <w:r w:rsidR="00D27942" w:rsidRPr="00656D2C">
        <w:rPr>
          <w:rFonts w:ascii="Arial" w:eastAsia="Arial" w:hAnsi="Arial" w:cs="Arial"/>
        </w:rPr>
        <w:t>s</w:t>
      </w:r>
      <w:r w:rsidR="003E133D" w:rsidRPr="00656D2C">
        <w:rPr>
          <w:rFonts w:ascii="Arial" w:eastAsia="Arial" w:hAnsi="Arial" w:cs="Arial"/>
        </w:rPr>
        <w:t>ection</w:t>
      </w:r>
      <w:r w:rsidR="009C179E" w:rsidRPr="00656D2C">
        <w:rPr>
          <w:rFonts w:ascii="Arial" w:eastAsia="Arial" w:hAnsi="Arial" w:cs="Arial"/>
        </w:rPr>
        <w:t xml:space="preserve"> </w:t>
      </w:r>
      <w:r w:rsidR="00F56FD7" w:rsidRPr="00656D2C">
        <w:rPr>
          <w:rFonts w:ascii="Arial" w:eastAsia="Arial" w:hAnsi="Arial" w:cs="Arial"/>
        </w:rPr>
        <w:t xml:space="preserve">1 of the Template) </w:t>
      </w:r>
      <w:r w:rsidR="00E155BC" w:rsidRPr="00656D2C">
        <w:rPr>
          <w:rFonts w:ascii="Arial" w:eastAsia="Arial" w:hAnsi="Arial" w:cs="Arial"/>
        </w:rPr>
        <w:t>that must be filled for all initiatives</w:t>
      </w:r>
      <w:r w:rsidR="00394FC6">
        <w:rPr>
          <w:rFonts w:ascii="Arial" w:eastAsia="Arial" w:hAnsi="Arial" w:cs="Arial"/>
        </w:rPr>
        <w:t>.</w:t>
      </w:r>
      <w:r w:rsidR="003544A5">
        <w:rPr>
          <w:rFonts w:ascii="Arial" w:eastAsia="Arial" w:hAnsi="Arial" w:cs="Arial"/>
        </w:rPr>
        <w:t xml:space="preserve"> This section</w:t>
      </w:r>
      <w:r w:rsidRPr="00656D2C">
        <w:rPr>
          <w:rFonts w:ascii="Arial" w:eastAsia="Arial" w:hAnsi="Arial" w:cs="Arial"/>
        </w:rPr>
        <w:t xml:space="preserve"> determine</w:t>
      </w:r>
      <w:r w:rsidR="003544A5">
        <w:rPr>
          <w:rFonts w:ascii="Arial" w:eastAsia="Arial" w:hAnsi="Arial" w:cs="Arial"/>
        </w:rPr>
        <w:t>s</w:t>
      </w:r>
      <w:r w:rsidRPr="00656D2C">
        <w:rPr>
          <w:rFonts w:ascii="Arial" w:eastAsia="Arial" w:hAnsi="Arial" w:cs="Arial"/>
        </w:rPr>
        <w:t xml:space="preserve"> </w:t>
      </w:r>
      <w:r w:rsidR="001B1B32" w:rsidRPr="00E95436">
        <w:rPr>
          <w:rFonts w:ascii="Arial" w:eastAsia="Arial" w:hAnsi="Arial" w:cs="Arial"/>
        </w:rPr>
        <w:t xml:space="preserve">if </w:t>
      </w:r>
      <w:r w:rsidR="003544A5">
        <w:rPr>
          <w:rFonts w:ascii="Arial" w:eastAsia="Arial" w:hAnsi="Arial" w:cs="Arial"/>
        </w:rPr>
        <w:t>an</w:t>
      </w:r>
      <w:r w:rsidR="009C179E" w:rsidRPr="00E95436">
        <w:rPr>
          <w:rFonts w:ascii="Arial" w:eastAsia="Arial" w:hAnsi="Arial" w:cs="Arial"/>
        </w:rPr>
        <w:t xml:space="preserve"> initiative is</w:t>
      </w:r>
      <w:r w:rsidRPr="00656D2C">
        <w:rPr>
          <w:rFonts w:ascii="Arial" w:eastAsia="Arial" w:hAnsi="Arial" w:cs="Arial"/>
        </w:rPr>
        <w:t xml:space="preserve"> likely to have a material impact on Victoria’s climate action goals</w:t>
      </w:r>
      <w:r w:rsidR="00240735" w:rsidRPr="00656D2C">
        <w:rPr>
          <w:rFonts w:ascii="Arial" w:eastAsia="Arial" w:hAnsi="Arial" w:cs="Arial"/>
        </w:rPr>
        <w:t>, and</w:t>
      </w:r>
    </w:p>
    <w:p w14:paraId="4803A8BB" w14:textId="7AF581BF" w:rsidR="00240735" w:rsidRPr="00656D2C" w:rsidRDefault="00D27942" w:rsidP="00656D2C">
      <w:pPr>
        <w:pStyle w:val="ListParagraph"/>
        <w:numPr>
          <w:ilvl w:val="0"/>
          <w:numId w:val="26"/>
        </w:numPr>
        <w:spacing w:before="0" w:after="0"/>
        <w:rPr>
          <w:rFonts w:ascii="Arial" w:eastAsia="Arial" w:hAnsi="Arial" w:cs="Arial"/>
        </w:rPr>
      </w:pPr>
      <w:r w:rsidRPr="00E95436">
        <w:rPr>
          <w:rFonts w:ascii="Arial" w:eastAsia="Arial" w:hAnsi="Arial" w:cs="Arial"/>
        </w:rPr>
        <w:t xml:space="preserve">A </w:t>
      </w:r>
      <w:r w:rsidRPr="00656D2C">
        <w:rPr>
          <w:rFonts w:ascii="Arial" w:eastAsia="Arial" w:hAnsi="Arial" w:cs="Arial"/>
        </w:rPr>
        <w:t>Climate Action Assessment (section 2 of the template)</w:t>
      </w:r>
      <w:r w:rsidR="001B1B32" w:rsidRPr="00656D2C">
        <w:rPr>
          <w:rFonts w:ascii="Arial" w:eastAsia="Arial" w:hAnsi="Arial" w:cs="Arial"/>
        </w:rPr>
        <w:t xml:space="preserve"> </w:t>
      </w:r>
      <w:r w:rsidR="009C179E" w:rsidRPr="00656D2C">
        <w:rPr>
          <w:rFonts w:ascii="Arial" w:eastAsia="Arial" w:hAnsi="Arial" w:cs="Arial"/>
        </w:rPr>
        <w:t xml:space="preserve">that must be </w:t>
      </w:r>
      <w:r w:rsidR="009935E2" w:rsidRPr="00656D2C">
        <w:rPr>
          <w:rFonts w:ascii="Arial" w:eastAsia="Arial" w:hAnsi="Arial" w:cs="Arial"/>
        </w:rPr>
        <w:t xml:space="preserve">filled in </w:t>
      </w:r>
      <w:r w:rsidR="004D01D8">
        <w:rPr>
          <w:rFonts w:ascii="Arial" w:eastAsia="Arial" w:hAnsi="Arial" w:cs="Arial"/>
        </w:rPr>
        <w:t xml:space="preserve">only </w:t>
      </w:r>
      <w:r w:rsidR="009935E2" w:rsidRPr="00656D2C">
        <w:rPr>
          <w:rFonts w:ascii="Arial" w:eastAsia="Arial" w:hAnsi="Arial" w:cs="Arial"/>
        </w:rPr>
        <w:t>for initiatives</w:t>
      </w:r>
      <w:r w:rsidR="00A87AA6" w:rsidRPr="00656D2C">
        <w:rPr>
          <w:rFonts w:ascii="Arial" w:eastAsia="Arial" w:hAnsi="Arial" w:cs="Arial"/>
        </w:rPr>
        <w:t xml:space="preserve"> that are identified in </w:t>
      </w:r>
      <w:r w:rsidR="00524B04" w:rsidRPr="00656D2C">
        <w:rPr>
          <w:rFonts w:ascii="Arial" w:eastAsia="Arial" w:hAnsi="Arial" w:cs="Arial"/>
        </w:rPr>
        <w:t xml:space="preserve">section 1 as </w:t>
      </w:r>
      <w:r w:rsidR="00654734" w:rsidRPr="00E95436">
        <w:rPr>
          <w:rFonts w:ascii="Arial" w:eastAsia="Arial" w:hAnsi="Arial" w:cs="Arial"/>
        </w:rPr>
        <w:t xml:space="preserve">likely to have a material impact on Victoria’s </w:t>
      </w:r>
      <w:r w:rsidR="00EA4158" w:rsidRPr="00E95436">
        <w:rPr>
          <w:rFonts w:ascii="Arial" w:eastAsia="Arial" w:hAnsi="Arial" w:cs="Arial"/>
        </w:rPr>
        <w:t>climate action goals.</w:t>
      </w:r>
    </w:p>
    <w:p w14:paraId="3EF19709" w14:textId="5FE1A567" w:rsidR="009935E2" w:rsidRPr="00E95436" w:rsidRDefault="009935E2" w:rsidP="000F1DB8">
      <w:pPr>
        <w:rPr>
          <w:rFonts w:ascii="Arial" w:eastAsia="Arial" w:hAnsi="Arial" w:cs="Arial"/>
          <w:color w:val="000000"/>
        </w:rPr>
      </w:pPr>
      <w:r w:rsidRPr="00E95436">
        <w:rPr>
          <w:rFonts w:ascii="Arial" w:eastAsia="Arial" w:hAnsi="Arial" w:cs="Arial"/>
          <w:color w:val="000000"/>
        </w:rPr>
        <w:t>The Climate Action Screening and Assessment Template is at Attachment G.</w:t>
      </w:r>
    </w:p>
    <w:p w14:paraId="2A06DC78" w14:textId="0AF9AA87" w:rsidR="000F1DB8" w:rsidRPr="00656D2C" w:rsidRDefault="001C4CBD" w:rsidP="000F1DB8">
      <w:pPr>
        <w:rPr>
          <w:rFonts w:ascii="Arial" w:eastAsia="Arial" w:hAnsi="Arial" w:cs="Arial"/>
          <w:color w:val="000000"/>
        </w:rPr>
      </w:pPr>
      <w:r w:rsidRPr="00E95436">
        <w:rPr>
          <w:rFonts w:ascii="Arial" w:eastAsia="Arial" w:hAnsi="Arial" w:cs="Arial"/>
          <w:color w:val="000000"/>
        </w:rPr>
        <w:t xml:space="preserve">Climate Action Assessment </w:t>
      </w:r>
      <w:r w:rsidR="000F1DB8" w:rsidRPr="00656D2C">
        <w:rPr>
          <w:rFonts w:ascii="Arial" w:eastAsia="Arial" w:hAnsi="Arial" w:cs="Arial"/>
          <w:color w:val="000000"/>
        </w:rPr>
        <w:t xml:space="preserve">Guidelines </w:t>
      </w:r>
      <w:r w:rsidR="009935E2" w:rsidRPr="00E95436">
        <w:rPr>
          <w:rFonts w:ascii="Arial" w:eastAsia="Arial" w:hAnsi="Arial" w:cs="Arial"/>
          <w:color w:val="000000"/>
        </w:rPr>
        <w:t xml:space="preserve">are available </w:t>
      </w:r>
      <w:r w:rsidR="00D73A29" w:rsidRPr="00E95436">
        <w:rPr>
          <w:rFonts w:ascii="Arial" w:eastAsia="Arial" w:hAnsi="Arial" w:cs="Arial"/>
          <w:color w:val="000000"/>
        </w:rPr>
        <w:t xml:space="preserve">to </w:t>
      </w:r>
      <w:proofErr w:type="gramStart"/>
      <w:r w:rsidR="00D73A29" w:rsidRPr="00E95436">
        <w:rPr>
          <w:rFonts w:ascii="Arial" w:eastAsia="Arial" w:hAnsi="Arial" w:cs="Arial"/>
          <w:color w:val="000000"/>
        </w:rPr>
        <w:t>provide assistance</w:t>
      </w:r>
      <w:proofErr w:type="gramEnd"/>
      <w:r w:rsidR="00D73A29" w:rsidRPr="00E95436">
        <w:rPr>
          <w:rFonts w:ascii="Arial" w:eastAsia="Arial" w:hAnsi="Arial" w:cs="Arial"/>
          <w:color w:val="000000"/>
        </w:rPr>
        <w:t xml:space="preserve"> filling out the Climate Action Screening and Assessment Template</w:t>
      </w:r>
      <w:r w:rsidR="00D460DB" w:rsidRPr="00E95436">
        <w:rPr>
          <w:rFonts w:ascii="Arial" w:eastAsia="Arial" w:hAnsi="Arial" w:cs="Arial"/>
          <w:color w:val="000000"/>
        </w:rPr>
        <w:t>, as well as</w:t>
      </w:r>
      <w:r w:rsidR="00D73A29" w:rsidRPr="00E95436">
        <w:rPr>
          <w:rFonts w:ascii="Arial" w:eastAsia="Arial" w:hAnsi="Arial" w:cs="Arial"/>
          <w:color w:val="000000"/>
        </w:rPr>
        <w:t xml:space="preserve"> </w:t>
      </w:r>
      <w:r w:rsidR="009935E2" w:rsidRPr="00E95436">
        <w:rPr>
          <w:rFonts w:ascii="Arial" w:eastAsia="Arial" w:hAnsi="Arial" w:cs="Arial"/>
          <w:color w:val="000000"/>
        </w:rPr>
        <w:t>providing</w:t>
      </w:r>
      <w:r w:rsidR="000F1DB8" w:rsidRPr="00656D2C">
        <w:rPr>
          <w:rFonts w:ascii="Arial" w:eastAsia="Arial" w:hAnsi="Arial" w:cs="Arial"/>
          <w:color w:val="000000"/>
        </w:rPr>
        <w:t xml:space="preserve"> further information on Victoria’s climate action goals and legislation</w:t>
      </w:r>
      <w:r w:rsidR="00D460DB" w:rsidRPr="00E95436">
        <w:rPr>
          <w:rFonts w:ascii="Arial" w:eastAsia="Arial" w:hAnsi="Arial" w:cs="Arial"/>
          <w:color w:val="000000"/>
        </w:rPr>
        <w:t>.</w:t>
      </w:r>
      <w:r w:rsidR="0055622F" w:rsidRPr="00E95436">
        <w:rPr>
          <w:rFonts w:ascii="Arial" w:eastAsia="Arial" w:hAnsi="Arial" w:cs="Arial"/>
          <w:color w:val="000000"/>
        </w:rPr>
        <w:t xml:space="preserve"> </w:t>
      </w:r>
      <w:r w:rsidR="0055622F" w:rsidRPr="00656D2C" w:rsidDel="00534740">
        <w:rPr>
          <w:rFonts w:ascii="Arial" w:eastAsia="Arial" w:hAnsi="Arial" w:cs="Arial"/>
          <w:color w:val="000000"/>
        </w:rPr>
        <w:t>The Guidelines are</w:t>
      </w:r>
      <w:r w:rsidR="00D460DB" w:rsidRPr="00E95436" w:rsidDel="00534740">
        <w:rPr>
          <w:rFonts w:ascii="Arial" w:eastAsia="Arial" w:hAnsi="Arial" w:cs="Arial"/>
          <w:color w:val="000000"/>
        </w:rPr>
        <w:t xml:space="preserve"> available at </w:t>
      </w:r>
      <w:r w:rsidR="00545079">
        <w:rPr>
          <w:rFonts w:ascii="Arial" w:eastAsia="Arial" w:hAnsi="Arial" w:cs="Arial"/>
          <w:color w:val="000000"/>
        </w:rPr>
        <w:t>Attachment H</w:t>
      </w:r>
      <w:r w:rsidR="00D460DB" w:rsidRPr="00E95436" w:rsidDel="00534740">
        <w:rPr>
          <w:rFonts w:ascii="Arial" w:eastAsia="Arial" w:hAnsi="Arial" w:cs="Arial"/>
          <w:color w:val="000000"/>
        </w:rPr>
        <w:t>.</w:t>
      </w:r>
    </w:p>
    <w:p w14:paraId="6444AFAC" w14:textId="77777777" w:rsidR="000F1DB8" w:rsidRPr="00656D2C" w:rsidRDefault="000F1DB8" w:rsidP="000F1DB8">
      <w:pPr>
        <w:rPr>
          <w:rFonts w:ascii="Arial" w:eastAsia="Arial" w:hAnsi="Arial" w:cs="Arial"/>
          <w:color w:val="000000"/>
        </w:rPr>
      </w:pPr>
      <w:r w:rsidRPr="00656D2C">
        <w:rPr>
          <w:rFonts w:ascii="Arial" w:eastAsia="Arial" w:hAnsi="Arial" w:cs="Arial"/>
          <w:color w:val="000000"/>
        </w:rPr>
        <w:t xml:space="preserve">For further information regarding the Climate Action Assessment process, please contact </w:t>
      </w:r>
      <w:hyperlink r:id="rId19">
        <w:r w:rsidRPr="00656D2C">
          <w:rPr>
            <w:rStyle w:val="Hyperlink"/>
            <w:rFonts w:ascii="Arial" w:eastAsia="Arial" w:hAnsi="Arial" w:cs="Arial"/>
          </w:rPr>
          <w:t>climate.change@delwp.vic.gov.au</w:t>
        </w:r>
      </w:hyperlink>
    </w:p>
    <w:p w14:paraId="6B5A98BC" w14:textId="3A144FA6" w:rsidR="00E20768" w:rsidRPr="005B5F4F" w:rsidRDefault="00E20768" w:rsidP="00656D2C">
      <w:pPr>
        <w:pStyle w:val="NormalIndent"/>
      </w:pPr>
    </w:p>
    <w:p w14:paraId="7A28B5A1" w14:textId="2B6028F7" w:rsidR="007C7C05" w:rsidRPr="007C7C05" w:rsidRDefault="007C7C05" w:rsidP="007C7C05">
      <w:pPr>
        <w:keepNext/>
        <w:keepLines/>
        <w:numPr>
          <w:ilvl w:val="0"/>
          <w:numId w:val="5"/>
        </w:numPr>
        <w:spacing w:before="360" w:line="240" w:lineRule="auto"/>
        <w:outlineLvl w:val="0"/>
        <w:rPr>
          <w:rFonts w:asciiTheme="majorHAnsi" w:eastAsiaTheme="majorEastAsia" w:hAnsiTheme="majorHAnsi" w:cstheme="majorBidi"/>
          <w:b/>
          <w:bCs/>
          <w:color w:val="3A3467" w:themeColor="text2"/>
          <w:sz w:val="36"/>
          <w:szCs w:val="28"/>
        </w:rPr>
      </w:pPr>
      <w:r w:rsidRPr="007C7C05">
        <w:rPr>
          <w:rFonts w:asciiTheme="majorHAnsi" w:eastAsiaTheme="majorEastAsia" w:hAnsiTheme="majorHAnsi" w:cstheme="majorBidi"/>
          <w:b/>
          <w:bCs/>
          <w:color w:val="3A3467" w:themeColor="text2"/>
          <w:sz w:val="36"/>
          <w:szCs w:val="28"/>
        </w:rPr>
        <w:t xml:space="preserve">Estimating upfront carbon in Victorian Infrastructure Business </w:t>
      </w:r>
      <w:r w:rsidRPr="00824562">
        <w:rPr>
          <w:rFonts w:asciiTheme="majorHAnsi" w:eastAsiaTheme="majorEastAsia" w:hAnsiTheme="majorHAnsi" w:cstheme="majorBidi"/>
          <w:b/>
          <w:bCs/>
          <w:color w:val="3A3467" w:themeColor="text2"/>
          <w:sz w:val="36"/>
          <w:szCs w:val="28"/>
        </w:rPr>
        <w:t>Case</w:t>
      </w:r>
      <w:r w:rsidRPr="00F637C7">
        <w:rPr>
          <w:rFonts w:asciiTheme="majorHAnsi" w:eastAsiaTheme="majorEastAsia" w:hAnsiTheme="majorHAnsi" w:cstheme="majorBidi"/>
          <w:b/>
          <w:color w:val="3A3467" w:themeColor="text2"/>
          <w:sz w:val="36"/>
          <w:szCs w:val="28"/>
        </w:rPr>
        <w:t xml:space="preserve">s </w:t>
      </w:r>
    </w:p>
    <w:p w14:paraId="06CCD495" w14:textId="77777777" w:rsidR="007C7C05" w:rsidRPr="007C7C05" w:rsidRDefault="007C7C05" w:rsidP="007C7C05">
      <w:pPr>
        <w:spacing w:before="0" w:after="0" w:line="257" w:lineRule="auto"/>
        <w:rPr>
          <w:rFonts w:ascii="Aptos" w:eastAsia="Aptos" w:hAnsi="Aptos" w:cs="Aptos"/>
          <w:sz w:val="22"/>
          <w:szCs w:val="22"/>
        </w:rPr>
      </w:pPr>
    </w:p>
    <w:p w14:paraId="7B04198A" w14:textId="6F19CB3F" w:rsidR="007C7C05" w:rsidRPr="007C7C05" w:rsidRDefault="007C7C05" w:rsidP="007C7C05">
      <w:pPr>
        <w:spacing w:before="0" w:after="0" w:line="257" w:lineRule="auto"/>
        <w:rPr>
          <w:rFonts w:asciiTheme="majorHAnsi" w:eastAsia="Aptos" w:hAnsiTheme="majorHAnsi" w:cstheme="majorBidi"/>
        </w:rPr>
      </w:pPr>
      <w:r w:rsidRPr="007C7C05">
        <w:rPr>
          <w:rFonts w:asciiTheme="majorHAnsi" w:eastAsia="Aptos" w:hAnsiTheme="majorHAnsi" w:cstheme="majorBidi"/>
        </w:rPr>
        <w:t>Building on the Climate Action Assessment process, for major infrastructure submissions to the 2025</w:t>
      </w:r>
      <w:r w:rsidR="00843EAA">
        <w:rPr>
          <w:rFonts w:asciiTheme="majorHAnsi" w:eastAsia="Aptos" w:hAnsiTheme="majorHAnsi" w:cstheme="majorHAnsi"/>
        </w:rPr>
        <w:noBreakHyphen/>
      </w:r>
      <w:r w:rsidRPr="007C7C05">
        <w:rPr>
          <w:rFonts w:asciiTheme="majorHAnsi" w:eastAsia="Aptos" w:hAnsiTheme="majorHAnsi" w:cstheme="majorBidi"/>
        </w:rPr>
        <w:t xml:space="preserve">26 Budget, government departments and agencies will be requested to: </w:t>
      </w:r>
    </w:p>
    <w:p w14:paraId="6754B2EC" w14:textId="0371C04B" w:rsidR="007C7C05" w:rsidRPr="00E548CA" w:rsidRDefault="007C7C05" w:rsidP="00E548CA">
      <w:pPr>
        <w:pStyle w:val="ListParagraph"/>
        <w:keepNext/>
        <w:keepLines/>
        <w:numPr>
          <w:ilvl w:val="0"/>
          <w:numId w:val="30"/>
        </w:numPr>
        <w:spacing w:before="0" w:after="0" w:line="257" w:lineRule="auto"/>
        <w:outlineLvl w:val="0"/>
        <w:rPr>
          <w:rFonts w:asciiTheme="majorHAnsi" w:eastAsia="Aptos" w:hAnsiTheme="majorHAnsi" w:cstheme="majorBidi"/>
          <w:bCs/>
        </w:rPr>
      </w:pPr>
      <w:r w:rsidRPr="00E548CA">
        <w:rPr>
          <w:rFonts w:asciiTheme="majorHAnsi" w:eastAsia="Aptos" w:hAnsiTheme="majorHAnsi" w:cstheme="majorBidi"/>
          <w:bCs/>
        </w:rPr>
        <w:t>complete a questionnaire on their strategies or plans to reduce upfront carbon impact arising from infrastructure projects</w:t>
      </w:r>
      <w:r w:rsidR="00817C2E">
        <w:rPr>
          <w:rFonts w:asciiTheme="majorHAnsi" w:eastAsia="Aptos" w:hAnsiTheme="majorHAnsi" w:cstheme="majorBidi"/>
          <w:bCs/>
        </w:rPr>
        <w:t>;</w:t>
      </w:r>
      <w:r w:rsidRPr="00E548CA">
        <w:rPr>
          <w:rFonts w:asciiTheme="majorHAnsi" w:eastAsia="Aptos" w:hAnsiTheme="majorHAnsi" w:cstheme="majorBidi"/>
          <w:bCs/>
        </w:rPr>
        <w:t xml:space="preserve"> and </w:t>
      </w:r>
    </w:p>
    <w:p w14:paraId="3761083D" w14:textId="77777777" w:rsidR="007C7C05" w:rsidRPr="005831D9" w:rsidRDefault="007C7C05" w:rsidP="00E548CA">
      <w:pPr>
        <w:pStyle w:val="ListParagraph"/>
        <w:keepNext/>
        <w:keepLines/>
        <w:numPr>
          <w:ilvl w:val="0"/>
          <w:numId w:val="30"/>
        </w:numPr>
        <w:spacing w:before="0" w:line="257" w:lineRule="auto"/>
        <w:outlineLvl w:val="0"/>
        <w:rPr>
          <w:rFonts w:asciiTheme="majorHAnsi" w:eastAsia="Aptos" w:hAnsiTheme="majorHAnsi" w:cstheme="majorBidi"/>
        </w:rPr>
      </w:pPr>
      <w:r w:rsidRPr="00E548CA">
        <w:rPr>
          <w:rFonts w:asciiTheme="majorHAnsi" w:eastAsia="Aptos" w:hAnsiTheme="majorHAnsi" w:cstheme="majorBidi"/>
          <w:bCs/>
        </w:rPr>
        <w:t>f</w:t>
      </w:r>
      <w:r w:rsidRPr="001D78B6">
        <w:rPr>
          <w:rFonts w:asciiTheme="majorHAnsi" w:eastAsia="Aptos" w:hAnsiTheme="majorHAnsi" w:cstheme="majorBidi"/>
        </w:rPr>
        <w:t xml:space="preserve">or infrastructure funding submissions of $50 million TEI and greater, estimate the upfront carbon (Co2e) impact of the project and indicate potential mitigation measures. </w:t>
      </w:r>
      <w:r w:rsidRPr="005831D9">
        <w:rPr>
          <w:rFonts w:asciiTheme="majorHAnsi" w:eastAsia="Aptos" w:hAnsiTheme="majorHAnsi" w:cstheme="majorBidi"/>
        </w:rPr>
        <w:br/>
      </w:r>
    </w:p>
    <w:p w14:paraId="2085D358" w14:textId="77777777" w:rsidR="007C7C05" w:rsidRPr="007C7C05" w:rsidRDefault="007C7C05" w:rsidP="007C7C05">
      <w:r w:rsidRPr="007C7C05">
        <w:t>This includes:</w:t>
      </w:r>
    </w:p>
    <w:p w14:paraId="49099FE0" w14:textId="77777777" w:rsidR="007C7C05" w:rsidRPr="007C7C05" w:rsidRDefault="007C7C05" w:rsidP="00DE34D5">
      <w:pPr>
        <w:pStyle w:val="ListParagraph"/>
        <w:numPr>
          <w:ilvl w:val="0"/>
          <w:numId w:val="32"/>
        </w:numPr>
      </w:pPr>
      <w:r w:rsidRPr="007C7C05">
        <w:t>a single infrastructure project of $50 million or greater; or</w:t>
      </w:r>
    </w:p>
    <w:p w14:paraId="1147241A" w14:textId="77777777" w:rsidR="007C7C05" w:rsidRPr="00DE34D5" w:rsidRDefault="007C7C05" w:rsidP="00DE34D5">
      <w:pPr>
        <w:pStyle w:val="ListParagraph"/>
        <w:numPr>
          <w:ilvl w:val="0"/>
          <w:numId w:val="32"/>
        </w:numPr>
        <w:rPr>
          <w:b/>
        </w:rPr>
      </w:pPr>
      <w:proofErr w:type="gramStart"/>
      <w:r w:rsidRPr="007C7C05">
        <w:t>a number of</w:t>
      </w:r>
      <w:proofErr w:type="gramEnd"/>
      <w:r w:rsidRPr="007C7C05">
        <w:t xml:space="preserve"> small infrastructure projects that collectively total $50 million or greater; and</w:t>
      </w:r>
    </w:p>
    <w:p w14:paraId="7140B71C" w14:textId="50F8EDDE" w:rsidR="007C7C05" w:rsidRPr="00DE34D5" w:rsidRDefault="007C7C05" w:rsidP="00DE34D5">
      <w:pPr>
        <w:pStyle w:val="ListParagraph"/>
        <w:numPr>
          <w:ilvl w:val="0"/>
          <w:numId w:val="32"/>
        </w:numPr>
        <w:spacing w:after="360"/>
        <w:rPr>
          <w:rFonts w:asciiTheme="majorHAnsi" w:eastAsiaTheme="majorEastAsia" w:hAnsiTheme="majorHAnsi" w:cstheme="majorBidi"/>
          <w:bCs/>
          <w:color w:val="3A3467" w:themeColor="text2"/>
        </w:rPr>
      </w:pPr>
      <w:r w:rsidRPr="007C7C05">
        <w:t>assets already under construction or the operationalising</w:t>
      </w:r>
      <w:r w:rsidR="00843EAA">
        <w:t xml:space="preserve"> of</w:t>
      </w:r>
      <w:r w:rsidRPr="007C7C05">
        <w:t xml:space="preserve"> infrastructure, where the request for funding is $50 million or greater.</w:t>
      </w:r>
    </w:p>
    <w:p w14:paraId="5ABD99D1" w14:textId="194C48A7" w:rsidR="007C7C05" w:rsidRPr="00B84A93" w:rsidRDefault="007C7C05" w:rsidP="007C7C05">
      <w:pPr>
        <w:keepNext/>
        <w:keepLines/>
        <w:spacing w:before="0" w:line="257" w:lineRule="auto"/>
        <w:outlineLvl w:val="0"/>
        <w:rPr>
          <w:rFonts w:asciiTheme="majorHAnsi" w:eastAsia="Aptos" w:hAnsiTheme="majorHAnsi" w:cstheme="majorBidi"/>
        </w:rPr>
      </w:pPr>
      <w:r w:rsidRPr="0046553C">
        <w:rPr>
          <w:rFonts w:asciiTheme="majorHAnsi" w:eastAsia="Aptos" w:hAnsiTheme="majorHAnsi" w:cstheme="majorBidi"/>
        </w:rPr>
        <w:t xml:space="preserve">The Department of Treasury and Finance has developed an estimation tool to support this request and the excel workbook is located at </w:t>
      </w:r>
      <w:r w:rsidRPr="00F95843">
        <w:rPr>
          <w:rFonts w:asciiTheme="majorHAnsi" w:eastAsia="Aptos" w:hAnsiTheme="majorHAnsi" w:cstheme="majorBidi"/>
        </w:rPr>
        <w:t>Attachment</w:t>
      </w:r>
      <w:r w:rsidRPr="00B84A93">
        <w:rPr>
          <w:rFonts w:asciiTheme="majorHAnsi" w:eastAsia="Aptos" w:hAnsiTheme="majorHAnsi" w:cstheme="majorBidi"/>
        </w:rPr>
        <w:t xml:space="preserve"> </w:t>
      </w:r>
      <w:r w:rsidR="00E548CA" w:rsidRPr="00B84A93">
        <w:rPr>
          <w:rFonts w:asciiTheme="majorHAnsi" w:eastAsia="Aptos" w:hAnsiTheme="majorHAnsi" w:cstheme="majorBidi"/>
        </w:rPr>
        <w:t>J</w:t>
      </w:r>
      <w:r w:rsidRPr="00B84A93">
        <w:rPr>
          <w:rFonts w:asciiTheme="majorHAnsi" w:eastAsia="Aptos" w:hAnsiTheme="majorHAnsi" w:cstheme="majorBidi"/>
        </w:rPr>
        <w:t xml:space="preserve">. A copy of the completed workbook should be attached to the business case submission. </w:t>
      </w:r>
    </w:p>
    <w:p w14:paraId="36C2CF74" w14:textId="77777777" w:rsidR="007C7C05" w:rsidRPr="007C7C05" w:rsidRDefault="007C7C05" w:rsidP="007C7C05">
      <w:pPr>
        <w:spacing w:before="0" w:after="160" w:line="257" w:lineRule="auto"/>
        <w:rPr>
          <w:rFonts w:asciiTheme="majorHAnsi" w:eastAsiaTheme="majorEastAsia" w:hAnsiTheme="majorHAnsi" w:cstheme="majorBidi"/>
          <w:b/>
          <w:bCs/>
          <w:color w:val="3A3467" w:themeColor="text2"/>
          <w:sz w:val="24"/>
          <w:szCs w:val="24"/>
        </w:rPr>
      </w:pPr>
      <w:r w:rsidRPr="007C7C05">
        <w:rPr>
          <w:rFonts w:asciiTheme="majorHAnsi" w:eastAsiaTheme="majorEastAsia" w:hAnsiTheme="majorHAnsi" w:cstheme="majorBidi"/>
          <w:b/>
          <w:bCs/>
          <w:color w:val="3A3467" w:themeColor="text2"/>
          <w:sz w:val="24"/>
          <w:szCs w:val="24"/>
        </w:rPr>
        <w:t>Upfront carbon</w:t>
      </w:r>
    </w:p>
    <w:p w14:paraId="6A9D5786" w14:textId="77777777" w:rsidR="007C7C05" w:rsidRPr="00E548CA" w:rsidRDefault="007C7C05" w:rsidP="00E548CA">
      <w:pPr>
        <w:spacing w:before="0" w:after="160" w:line="257" w:lineRule="auto"/>
        <w:rPr>
          <w:rFonts w:asciiTheme="majorHAnsi" w:eastAsia="Aptos" w:hAnsiTheme="majorHAnsi" w:cstheme="majorBidi"/>
        </w:rPr>
      </w:pPr>
      <w:r w:rsidRPr="00E548CA">
        <w:rPr>
          <w:rFonts w:asciiTheme="majorHAnsi" w:eastAsia="Aptos" w:hAnsiTheme="majorHAnsi" w:cstheme="majorBidi"/>
        </w:rPr>
        <w:t>Upfront carbon is a term used to describe the carbon emissions associated with the creation of an asset, network or system up to practical completion. This includes the carbon emissions associated with the:</w:t>
      </w:r>
    </w:p>
    <w:p w14:paraId="3133AD56" w14:textId="18128B8F" w:rsidR="007C7C05" w:rsidRPr="007C7C05" w:rsidRDefault="007C7C05" w:rsidP="00E548CA">
      <w:pPr>
        <w:keepNext/>
        <w:keepLines/>
        <w:numPr>
          <w:ilvl w:val="0"/>
          <w:numId w:val="31"/>
        </w:numPr>
        <w:spacing w:before="0" w:after="0" w:line="257" w:lineRule="auto"/>
        <w:outlineLvl w:val="0"/>
        <w:rPr>
          <w:rFonts w:asciiTheme="majorHAnsi" w:eastAsia="Aptos" w:hAnsiTheme="majorHAnsi" w:cstheme="majorBidi"/>
        </w:rPr>
      </w:pPr>
      <w:r w:rsidRPr="007C7C05">
        <w:rPr>
          <w:rFonts w:asciiTheme="majorHAnsi" w:eastAsia="Aptos" w:hAnsiTheme="majorHAnsi" w:cstheme="majorBidi"/>
        </w:rPr>
        <w:t xml:space="preserve">supply of raw materials and manufacture of building products such as reinforced steel, concrete, cladding </w:t>
      </w:r>
      <w:proofErr w:type="gramStart"/>
      <w:r w:rsidRPr="007C7C05">
        <w:rPr>
          <w:rFonts w:asciiTheme="majorHAnsi" w:eastAsia="Aptos" w:hAnsiTheme="majorHAnsi" w:cstheme="majorBidi"/>
        </w:rPr>
        <w:t>etc</w:t>
      </w:r>
      <w:r w:rsidR="00D138E4">
        <w:rPr>
          <w:rFonts w:asciiTheme="majorHAnsi" w:eastAsia="Aptos" w:hAnsiTheme="majorHAnsi" w:cstheme="majorBidi"/>
        </w:rPr>
        <w:t>;</w:t>
      </w:r>
      <w:proofErr w:type="gramEnd"/>
    </w:p>
    <w:p w14:paraId="268D872C" w14:textId="7BF1C79D" w:rsidR="007C7C05" w:rsidRPr="007C7C05" w:rsidRDefault="007C7C05" w:rsidP="00E548CA">
      <w:pPr>
        <w:keepNext/>
        <w:keepLines/>
        <w:numPr>
          <w:ilvl w:val="0"/>
          <w:numId w:val="31"/>
        </w:numPr>
        <w:spacing w:before="0" w:after="0" w:line="257" w:lineRule="auto"/>
        <w:outlineLvl w:val="0"/>
        <w:rPr>
          <w:rFonts w:asciiTheme="majorHAnsi" w:eastAsia="Aptos" w:hAnsiTheme="majorHAnsi" w:cstheme="majorBidi"/>
        </w:rPr>
      </w:pPr>
      <w:r w:rsidRPr="007C7C05">
        <w:rPr>
          <w:rFonts w:asciiTheme="majorHAnsi" w:eastAsia="Aptos" w:hAnsiTheme="majorHAnsi" w:cstheme="majorBidi"/>
        </w:rPr>
        <w:t>transportation of building products to site</w:t>
      </w:r>
      <w:r w:rsidR="00817C2E">
        <w:rPr>
          <w:rFonts w:asciiTheme="majorHAnsi" w:eastAsia="Aptos" w:hAnsiTheme="majorHAnsi" w:cstheme="majorBidi"/>
        </w:rPr>
        <w:t xml:space="preserve">; and </w:t>
      </w:r>
      <w:r w:rsidRPr="007C7C05">
        <w:rPr>
          <w:rFonts w:asciiTheme="majorHAnsi" w:eastAsia="Aptos" w:hAnsiTheme="majorHAnsi" w:cstheme="majorBidi"/>
        </w:rPr>
        <w:t xml:space="preserve"> </w:t>
      </w:r>
    </w:p>
    <w:p w14:paraId="1E876F0A" w14:textId="43D823F7" w:rsidR="007C7C05" w:rsidRPr="007C7C05" w:rsidRDefault="007C7C05" w:rsidP="00E548CA">
      <w:pPr>
        <w:keepNext/>
        <w:keepLines/>
        <w:numPr>
          <w:ilvl w:val="0"/>
          <w:numId w:val="31"/>
        </w:numPr>
        <w:spacing w:before="0" w:after="0" w:line="257" w:lineRule="auto"/>
        <w:outlineLvl w:val="0"/>
        <w:rPr>
          <w:rFonts w:asciiTheme="majorHAnsi" w:eastAsia="Aptos" w:hAnsiTheme="majorHAnsi" w:cstheme="majorBidi"/>
        </w:rPr>
      </w:pPr>
      <w:r w:rsidRPr="007C7C05">
        <w:rPr>
          <w:rFonts w:asciiTheme="majorHAnsi" w:eastAsia="Aptos" w:hAnsiTheme="majorHAnsi" w:cstheme="majorBidi"/>
        </w:rPr>
        <w:t>construction, installation, and commissioning of the asset</w:t>
      </w:r>
      <w:r w:rsidR="00D138E4">
        <w:rPr>
          <w:rFonts w:asciiTheme="majorHAnsi" w:eastAsia="Aptos" w:hAnsiTheme="majorHAnsi" w:cstheme="majorBidi"/>
        </w:rPr>
        <w:t>.</w:t>
      </w:r>
      <w:r w:rsidRPr="007C7C05">
        <w:rPr>
          <w:rFonts w:asciiTheme="majorHAnsi" w:eastAsia="Aptos" w:hAnsiTheme="majorHAnsi" w:cstheme="majorBidi"/>
        </w:rPr>
        <w:t xml:space="preserve"> </w:t>
      </w:r>
    </w:p>
    <w:p w14:paraId="4CBB941F" w14:textId="77777777" w:rsidR="007C7C05" w:rsidRPr="007C7C05" w:rsidRDefault="007C7C05" w:rsidP="007C7C05">
      <w:pPr>
        <w:ind w:left="792"/>
        <w:rPr>
          <w:rFonts w:asciiTheme="majorHAnsi" w:eastAsia="Aptos" w:hAnsiTheme="majorHAnsi" w:cstheme="majorHAnsi"/>
        </w:rPr>
      </w:pPr>
    </w:p>
    <w:p w14:paraId="532E39A9" w14:textId="77777777" w:rsidR="007C7C05" w:rsidRPr="007C7C05" w:rsidRDefault="007C7C05" w:rsidP="007C7C05">
      <w:pPr>
        <w:spacing w:before="0" w:after="160" w:line="257" w:lineRule="auto"/>
        <w:rPr>
          <w:rFonts w:asciiTheme="majorHAnsi" w:eastAsiaTheme="majorEastAsia" w:hAnsiTheme="majorHAnsi" w:cstheme="majorBidi"/>
          <w:b/>
          <w:bCs/>
          <w:color w:val="3A3467" w:themeColor="text2"/>
          <w:sz w:val="24"/>
          <w:szCs w:val="24"/>
        </w:rPr>
      </w:pPr>
      <w:r w:rsidRPr="007C7C05">
        <w:rPr>
          <w:rFonts w:asciiTheme="majorHAnsi" w:eastAsiaTheme="majorEastAsia" w:hAnsiTheme="majorHAnsi" w:cstheme="majorBidi"/>
          <w:b/>
          <w:bCs/>
          <w:color w:val="3A3467" w:themeColor="text2"/>
          <w:sz w:val="24"/>
          <w:szCs w:val="24"/>
        </w:rPr>
        <w:t>Strategies and plans to reduce the impact of upfront carbon</w:t>
      </w:r>
    </w:p>
    <w:p w14:paraId="2F66DE6A" w14:textId="77777777" w:rsidR="007C7C05" w:rsidRPr="007C7C05" w:rsidRDefault="007C7C05" w:rsidP="007C7C05">
      <w:pPr>
        <w:spacing w:before="0" w:after="160" w:line="257" w:lineRule="auto"/>
        <w:rPr>
          <w:rFonts w:asciiTheme="majorHAnsi" w:eastAsia="Aptos" w:hAnsiTheme="majorHAnsi" w:cstheme="majorBidi"/>
        </w:rPr>
      </w:pPr>
      <w:r w:rsidRPr="007C7C05">
        <w:rPr>
          <w:rFonts w:asciiTheme="majorHAnsi" w:eastAsia="Aptos" w:hAnsiTheme="majorHAnsi" w:cstheme="majorBidi"/>
        </w:rPr>
        <w:t>Many departments and agencies have started to embark on an infrastructure decarbonisation journey.</w:t>
      </w:r>
    </w:p>
    <w:p w14:paraId="186F5011" w14:textId="77777777" w:rsidR="007C7C05" w:rsidRPr="007C7C05" w:rsidRDefault="007C7C05" w:rsidP="007C7C05">
      <w:pPr>
        <w:spacing w:before="0" w:after="160" w:line="257" w:lineRule="auto"/>
        <w:rPr>
          <w:rFonts w:asciiTheme="majorHAnsi" w:eastAsia="Aptos" w:hAnsiTheme="majorHAnsi" w:cstheme="majorBidi"/>
        </w:rPr>
      </w:pPr>
      <w:r w:rsidRPr="007C7C05">
        <w:rPr>
          <w:rFonts w:asciiTheme="majorHAnsi" w:eastAsia="Aptos" w:hAnsiTheme="majorHAnsi" w:cstheme="majorBidi"/>
        </w:rPr>
        <w:t>Step 1 of the tool enables you to simply identify what decarbonisation strategies you currently have in place.</w:t>
      </w:r>
    </w:p>
    <w:p w14:paraId="015F6190" w14:textId="77777777" w:rsidR="007C7C05" w:rsidRPr="007C7C05" w:rsidRDefault="007C7C05" w:rsidP="007C7C05">
      <w:pPr>
        <w:spacing w:before="0" w:after="160" w:line="257" w:lineRule="auto"/>
        <w:rPr>
          <w:rFonts w:asciiTheme="majorHAnsi" w:eastAsiaTheme="majorEastAsia" w:hAnsiTheme="majorHAnsi" w:cstheme="majorBidi"/>
          <w:b/>
          <w:bCs/>
          <w:color w:val="3A3467" w:themeColor="text2"/>
          <w:sz w:val="24"/>
          <w:szCs w:val="24"/>
        </w:rPr>
      </w:pPr>
      <w:r w:rsidRPr="007C7C05">
        <w:rPr>
          <w:rFonts w:asciiTheme="majorHAnsi" w:eastAsiaTheme="majorEastAsia" w:hAnsiTheme="majorHAnsi" w:cstheme="majorBidi"/>
          <w:b/>
          <w:bCs/>
          <w:color w:val="3A3467" w:themeColor="text2"/>
          <w:sz w:val="24"/>
          <w:szCs w:val="24"/>
        </w:rPr>
        <w:t>Estimating upfront carbon emissions for business case purposes</w:t>
      </w:r>
    </w:p>
    <w:p w14:paraId="432E8C6E" w14:textId="77777777" w:rsidR="007C7C05" w:rsidRPr="007C7C05" w:rsidRDefault="007C7C05" w:rsidP="007C7C05">
      <w:pPr>
        <w:rPr>
          <w:rFonts w:ascii="Arial" w:hAnsi="Arial" w:cs="Arial"/>
        </w:rPr>
      </w:pPr>
      <w:r w:rsidRPr="007C7C05">
        <w:rPr>
          <w:rFonts w:ascii="Arial" w:hAnsi="Arial" w:cs="Arial"/>
        </w:rPr>
        <w:t>Steps 2-4 enable you to calculate the project’s estimated upfront carbon (Co2e) based on the:</w:t>
      </w:r>
    </w:p>
    <w:p w14:paraId="6BCE3DDD" w14:textId="6E2686C2" w:rsidR="007C7C05" w:rsidRPr="00727C9E" w:rsidRDefault="007C7C05" w:rsidP="00727C9E">
      <w:pPr>
        <w:pStyle w:val="ListParagraph"/>
        <w:keepNext/>
        <w:keepLines/>
        <w:numPr>
          <w:ilvl w:val="0"/>
          <w:numId w:val="33"/>
        </w:numPr>
        <w:spacing w:before="0" w:after="0" w:line="257" w:lineRule="auto"/>
        <w:outlineLvl w:val="0"/>
        <w:rPr>
          <w:rFonts w:asciiTheme="majorHAnsi" w:eastAsia="Aptos" w:hAnsiTheme="majorHAnsi" w:cstheme="majorBidi"/>
        </w:rPr>
      </w:pPr>
      <w:r w:rsidRPr="00727C9E">
        <w:rPr>
          <w:rFonts w:asciiTheme="majorHAnsi" w:eastAsia="Aptos" w:hAnsiTheme="majorHAnsi" w:cstheme="majorBidi"/>
        </w:rPr>
        <w:t xml:space="preserve">type of asset (hospital, highway road, water treatment plant </w:t>
      </w:r>
      <w:proofErr w:type="gramStart"/>
      <w:r w:rsidRPr="00727C9E">
        <w:rPr>
          <w:rFonts w:asciiTheme="majorHAnsi" w:eastAsia="Aptos" w:hAnsiTheme="majorHAnsi" w:cstheme="majorBidi"/>
        </w:rPr>
        <w:t>etc.</w:t>
      </w:r>
      <w:r w:rsidR="00FD05FD">
        <w:rPr>
          <w:rFonts w:asciiTheme="majorHAnsi" w:eastAsia="Aptos" w:hAnsiTheme="majorHAnsi" w:cstheme="majorBidi"/>
        </w:rPr>
        <w:t>;</w:t>
      </w:r>
      <w:proofErr w:type="gramEnd"/>
    </w:p>
    <w:p w14:paraId="62282DC9" w14:textId="289CCDBC" w:rsidR="007C7C05" w:rsidRPr="00727C9E" w:rsidRDefault="007C7C05" w:rsidP="00727C9E">
      <w:pPr>
        <w:pStyle w:val="ListParagraph"/>
        <w:keepNext/>
        <w:keepLines/>
        <w:numPr>
          <w:ilvl w:val="0"/>
          <w:numId w:val="33"/>
        </w:numPr>
        <w:spacing w:before="0" w:after="0" w:line="257" w:lineRule="auto"/>
        <w:outlineLvl w:val="0"/>
        <w:rPr>
          <w:rFonts w:asciiTheme="majorHAnsi" w:eastAsia="Aptos" w:hAnsiTheme="majorHAnsi" w:cstheme="majorBidi"/>
        </w:rPr>
      </w:pPr>
      <w:r w:rsidRPr="00727C9E">
        <w:rPr>
          <w:rFonts w:asciiTheme="majorHAnsi" w:eastAsia="Aptos" w:hAnsiTheme="majorHAnsi" w:cstheme="majorBidi"/>
        </w:rPr>
        <w:t>total capital infrastructure project cost (TEI $)</w:t>
      </w:r>
      <w:r w:rsidR="00FD05FD">
        <w:rPr>
          <w:rFonts w:asciiTheme="majorHAnsi" w:eastAsia="Aptos" w:hAnsiTheme="majorHAnsi" w:cstheme="majorBidi"/>
        </w:rPr>
        <w:t>;</w:t>
      </w:r>
      <w:r w:rsidRPr="00727C9E">
        <w:rPr>
          <w:rFonts w:asciiTheme="majorHAnsi" w:eastAsia="Aptos" w:hAnsiTheme="majorHAnsi" w:cstheme="majorBidi"/>
        </w:rPr>
        <w:t xml:space="preserve"> and </w:t>
      </w:r>
    </w:p>
    <w:p w14:paraId="3A716471" w14:textId="77777777" w:rsidR="007C7C05" w:rsidRPr="00727C9E" w:rsidRDefault="007C7C05" w:rsidP="00727C9E">
      <w:pPr>
        <w:pStyle w:val="ListParagraph"/>
        <w:keepNext/>
        <w:keepLines/>
        <w:numPr>
          <w:ilvl w:val="0"/>
          <w:numId w:val="33"/>
        </w:numPr>
        <w:spacing w:before="0" w:line="257" w:lineRule="auto"/>
        <w:outlineLvl w:val="0"/>
        <w:rPr>
          <w:rFonts w:asciiTheme="majorHAnsi" w:eastAsia="Aptos" w:hAnsiTheme="majorHAnsi" w:cstheme="majorBidi"/>
        </w:rPr>
      </w:pPr>
      <w:r w:rsidRPr="00727C9E">
        <w:rPr>
          <w:rFonts w:asciiTheme="majorHAnsi" w:eastAsia="Aptos" w:hAnsiTheme="majorHAnsi" w:cstheme="majorBidi"/>
        </w:rPr>
        <w:t xml:space="preserve">type of capital works that will be completed (i.e. refitting existing building, new build or modular/prefab). </w:t>
      </w:r>
    </w:p>
    <w:p w14:paraId="2B271686" w14:textId="77777777" w:rsidR="007C7C05" w:rsidRPr="007C7C05" w:rsidRDefault="007C7C05" w:rsidP="007C7C05">
      <w:pPr>
        <w:rPr>
          <w:rFonts w:ascii="Arial" w:hAnsi="Arial" w:cs="Arial"/>
        </w:rPr>
      </w:pPr>
      <w:r w:rsidRPr="007C7C05">
        <w:rPr>
          <w:rFonts w:ascii="Arial" w:hAnsi="Arial" w:cs="Arial"/>
        </w:rPr>
        <w:t>Step 5 enables you to identify decarbonisation actions you are implementing to reduce the emissions impact of the project.</w:t>
      </w:r>
    </w:p>
    <w:p w14:paraId="1597D37F" w14:textId="77777777" w:rsidR="007C7C05" w:rsidRPr="007C7C05" w:rsidRDefault="007C7C05" w:rsidP="007C7C05">
      <w:pPr>
        <w:spacing w:before="0" w:after="160" w:line="257" w:lineRule="auto"/>
        <w:rPr>
          <w:rFonts w:asciiTheme="majorHAnsi" w:eastAsia="Aptos" w:hAnsiTheme="majorHAnsi" w:cstheme="majorBidi"/>
        </w:rPr>
      </w:pPr>
      <w:r w:rsidRPr="007C7C05">
        <w:rPr>
          <w:rFonts w:asciiTheme="majorHAnsi" w:eastAsia="Aptos" w:hAnsiTheme="majorHAnsi" w:cstheme="majorBidi"/>
        </w:rPr>
        <w:t xml:space="preserve">The tool includes step by step instructions and examples to follow.  The tool has been developed based on the methodology adapted from </w:t>
      </w:r>
      <w:hyperlink r:id="rId20" w:history="1">
        <w:r w:rsidRPr="007C7C05">
          <w:rPr>
            <w:rFonts w:asciiTheme="majorHAnsi" w:eastAsia="Aptos" w:hAnsiTheme="majorHAnsi" w:cstheme="majorBidi"/>
            <w:color w:val="467886"/>
            <w:u w:val="single"/>
          </w:rPr>
          <w:t xml:space="preserve">NSW Government’s </w:t>
        </w:r>
        <w:r w:rsidRPr="007C7C05">
          <w:rPr>
            <w:rFonts w:asciiTheme="majorHAnsi" w:eastAsia="Aptos" w:hAnsiTheme="majorHAnsi" w:cstheme="majorBidi"/>
            <w:i/>
            <w:iCs/>
            <w:color w:val="004C97" w:themeColor="accent3"/>
          </w:rPr>
          <w:t>Embodied Carbon Measurement for Infrastructure: Technical Guidance</w:t>
        </w:r>
      </w:hyperlink>
      <w:r w:rsidRPr="007C7C05">
        <w:rPr>
          <w:rFonts w:asciiTheme="majorHAnsi" w:eastAsia="Aptos" w:hAnsiTheme="majorHAnsi" w:cstheme="majorBidi"/>
        </w:rPr>
        <w:t xml:space="preserve"> and aligns with an internationally recognised carbon management standard (PAS 2080:2023) adopted across several leading jurisdictions such as UK, Europe and USA.  </w:t>
      </w:r>
    </w:p>
    <w:p w14:paraId="7C99672E" w14:textId="77777777" w:rsidR="007C7C05" w:rsidRPr="007C7C05" w:rsidRDefault="007C7C05" w:rsidP="007C7C05">
      <w:pPr>
        <w:spacing w:before="0" w:after="160" w:line="257" w:lineRule="auto"/>
        <w:rPr>
          <w:rFonts w:asciiTheme="majorHAnsi" w:eastAsiaTheme="majorEastAsia" w:hAnsiTheme="majorHAnsi" w:cstheme="majorBidi"/>
          <w:b/>
          <w:color w:val="3A3467" w:themeColor="text2"/>
          <w:sz w:val="24"/>
          <w:szCs w:val="24"/>
        </w:rPr>
      </w:pPr>
      <w:r w:rsidRPr="007C7C05">
        <w:rPr>
          <w:rFonts w:asciiTheme="majorHAnsi" w:eastAsiaTheme="majorEastAsia" w:hAnsiTheme="majorHAnsi" w:cstheme="majorBidi"/>
          <w:b/>
          <w:color w:val="3A3467" w:themeColor="text2"/>
          <w:sz w:val="24"/>
          <w:szCs w:val="24"/>
        </w:rPr>
        <w:t>Limitations</w:t>
      </w:r>
    </w:p>
    <w:p w14:paraId="24184AD2" w14:textId="19848E9D" w:rsidR="007C7C05" w:rsidRPr="0054144E" w:rsidRDefault="007C7C05" w:rsidP="007C7C05">
      <w:pPr>
        <w:spacing w:before="0" w:after="160" w:line="257" w:lineRule="auto"/>
        <w:rPr>
          <w:rFonts w:asciiTheme="majorHAnsi" w:eastAsia="Aptos" w:hAnsiTheme="majorHAnsi" w:cstheme="majorBidi"/>
        </w:rPr>
      </w:pPr>
      <w:r w:rsidRPr="007C7C05">
        <w:rPr>
          <w:rFonts w:asciiTheme="majorHAnsi" w:eastAsia="Aptos" w:hAnsiTheme="majorHAnsi" w:cstheme="majorBidi"/>
        </w:rPr>
        <w:t xml:space="preserve">The accuracy of the upfront carbon estimate is limited to information and carbon intensity benchmarks set at the asset level. </w:t>
      </w:r>
      <w:r w:rsidR="00843EAA">
        <w:rPr>
          <w:rFonts w:asciiTheme="majorHAnsi" w:eastAsia="Aptos" w:hAnsiTheme="majorHAnsi" w:cstheme="majorBidi"/>
        </w:rPr>
        <w:t>It is</w:t>
      </w:r>
      <w:r w:rsidRPr="007C7C05" w:rsidDel="00843EAA">
        <w:rPr>
          <w:rFonts w:asciiTheme="majorHAnsi" w:eastAsia="Aptos" w:hAnsiTheme="majorHAnsi" w:cstheme="majorBidi"/>
        </w:rPr>
        <w:t xml:space="preserve"> </w:t>
      </w:r>
      <w:r w:rsidRPr="007C7C05">
        <w:rPr>
          <w:rFonts w:asciiTheme="majorHAnsi" w:eastAsia="Aptos" w:hAnsiTheme="majorHAnsi" w:cstheme="majorBidi"/>
        </w:rPr>
        <w:t>recognise</w:t>
      </w:r>
      <w:r w:rsidR="00843EAA">
        <w:rPr>
          <w:rFonts w:asciiTheme="majorHAnsi" w:eastAsia="Aptos" w:hAnsiTheme="majorHAnsi" w:cstheme="majorBidi"/>
        </w:rPr>
        <w:t>d that</w:t>
      </w:r>
      <w:r w:rsidRPr="007C7C05">
        <w:rPr>
          <w:rFonts w:asciiTheme="majorHAnsi" w:eastAsia="Aptos" w:hAnsiTheme="majorHAnsi" w:cstheme="majorBidi"/>
        </w:rPr>
        <w:t xml:space="preserve"> carbon emissions are released across the whole of life of asset creation, operation and decommissioning; however, this estimate is limited to asset creation.  Future evolutions of this guidance will aim to capture data at the material level along with emissions </w:t>
      </w:r>
      <w:r w:rsidRPr="0054144E">
        <w:rPr>
          <w:rFonts w:asciiTheme="majorHAnsi" w:eastAsia="Aptos" w:hAnsiTheme="majorHAnsi" w:cstheme="majorBidi"/>
        </w:rPr>
        <w:t>across the whole of life of an asset.</w:t>
      </w:r>
    </w:p>
    <w:p w14:paraId="52FB1E8C" w14:textId="77777777" w:rsidR="007C7C05" w:rsidRPr="0054144E" w:rsidRDefault="007C7C05" w:rsidP="007C7C05">
      <w:pPr>
        <w:rPr>
          <w:rFonts w:asciiTheme="majorHAnsi" w:eastAsia="Aptos" w:hAnsiTheme="majorHAnsi" w:cstheme="majorBidi"/>
        </w:rPr>
      </w:pPr>
      <w:r w:rsidRPr="0054144E">
        <w:rPr>
          <w:rFonts w:asciiTheme="majorHAnsi" w:eastAsia="Aptos" w:hAnsiTheme="majorHAnsi" w:cstheme="majorBidi"/>
        </w:rPr>
        <w:t>For questions regarding the guideline and the estimation tool, please contact DTF - Tim Grieve, Director, Strategy &amp; Productivity, Infrastructure Division at tim.grieve@opv.vic.gov.au</w:t>
      </w:r>
    </w:p>
    <w:p w14:paraId="5F227949" w14:textId="1038CCC2" w:rsidR="005B280E" w:rsidRPr="0054144E" w:rsidRDefault="005B280E" w:rsidP="005B280E">
      <w:pPr>
        <w:pStyle w:val="Heading1numbered"/>
      </w:pPr>
      <w:r w:rsidRPr="0054144E">
        <w:t xml:space="preserve">Owner’s Costs </w:t>
      </w:r>
    </w:p>
    <w:p w14:paraId="4893C73A" w14:textId="29F13AB3" w:rsidR="005B280E" w:rsidRPr="000D2FFF" w:rsidRDefault="005B280E" w:rsidP="005B280E">
      <w:pPr>
        <w:spacing w:before="0" w:after="160" w:line="259" w:lineRule="auto"/>
        <w:jc w:val="both"/>
        <w:textAlignment w:val="baseline"/>
      </w:pPr>
      <w:r w:rsidRPr="0054144E">
        <w:t>Owner’s costs comprise multiple elements and typically exclude the cost of purchasing land, construction costs, associated minor works and private operator payments.</w:t>
      </w:r>
      <w:r w:rsidRPr="0F9FA460">
        <w:t> </w:t>
      </w:r>
    </w:p>
    <w:p w14:paraId="684ED083" w14:textId="77777777" w:rsidR="005B280E" w:rsidRPr="000D2FFF" w:rsidRDefault="005B280E" w:rsidP="005B280E">
      <w:pPr>
        <w:spacing w:before="0" w:after="160" w:line="259" w:lineRule="auto"/>
        <w:jc w:val="both"/>
        <w:textAlignment w:val="baseline"/>
        <w:rPr>
          <w:rFonts w:eastAsiaTheme="minorHAnsi" w:cstheme="minorHAnsi"/>
        </w:rPr>
      </w:pPr>
      <w:r w:rsidRPr="000D2FFF">
        <w:rPr>
          <w:rFonts w:eastAsiaTheme="minorHAnsi" w:cstheme="minorHAnsi"/>
        </w:rPr>
        <w:t xml:space="preserve">To improve the transparency of these costs, DTF has developed more detailed guidance to assist delivery agencies to achieve more consistent reporting and monitoring of owner’s costs. </w:t>
      </w:r>
    </w:p>
    <w:p w14:paraId="32A226A1" w14:textId="77777777" w:rsidR="005B280E" w:rsidRPr="000D2FFF" w:rsidRDefault="005B280E" w:rsidP="005B280E">
      <w:pPr>
        <w:keepNext/>
        <w:keepLines/>
        <w:spacing w:before="360" w:line="276" w:lineRule="auto"/>
        <w:outlineLvl w:val="0"/>
        <w:rPr>
          <w:rFonts w:asciiTheme="majorHAnsi" w:eastAsiaTheme="majorEastAsia" w:hAnsiTheme="majorHAnsi" w:cstheme="majorBidi"/>
          <w:b/>
          <w:bCs/>
          <w:color w:val="3A3467" w:themeColor="text2"/>
          <w:sz w:val="24"/>
          <w:szCs w:val="24"/>
          <w:lang w:val="en-GB"/>
        </w:rPr>
      </w:pPr>
      <w:r w:rsidRPr="000D2FFF">
        <w:rPr>
          <w:rFonts w:asciiTheme="majorHAnsi" w:eastAsiaTheme="majorEastAsia" w:hAnsiTheme="majorHAnsi" w:cstheme="minorHAnsi"/>
          <w:b/>
          <w:bCs/>
          <w:color w:val="3A3467" w:themeColor="text2"/>
          <w:sz w:val="24"/>
          <w:szCs w:val="24"/>
        </w:rPr>
        <w:t>Definition of owner’s costs</w:t>
      </w:r>
    </w:p>
    <w:p w14:paraId="11B0BDB1" w14:textId="77777777" w:rsidR="005B280E" w:rsidRPr="000D2FFF" w:rsidRDefault="005B280E" w:rsidP="005B280E">
      <w:pPr>
        <w:jc w:val="both"/>
        <w:rPr>
          <w:lang w:val="en-GB"/>
        </w:rPr>
      </w:pPr>
      <w:r w:rsidRPr="000D2FFF">
        <w:t>DTF considers the below definition of owner’s costs as the best-fit for delivery agencies to apply when reporting on owner’s costs.</w:t>
      </w:r>
    </w:p>
    <w:p w14:paraId="4469E28D" w14:textId="77777777" w:rsidR="005B280E" w:rsidRPr="000D2FFF" w:rsidRDefault="005B280E" w:rsidP="005B280E">
      <w:pPr>
        <w:jc w:val="center"/>
        <w:rPr>
          <w:b/>
          <w:bCs/>
          <w:i/>
          <w:iCs/>
        </w:rPr>
      </w:pPr>
      <w:r w:rsidRPr="000D2FFF">
        <w:rPr>
          <w:b/>
          <w:bCs/>
          <w:i/>
          <w:iCs/>
        </w:rPr>
        <w:t>“All costs incurred by the agency which do not relate to the cost of purchasing land, third party construction costs and minor works and private operator payments.”</w:t>
      </w:r>
    </w:p>
    <w:p w14:paraId="2D251E5B" w14:textId="77777777" w:rsidR="005B280E" w:rsidRPr="000D2FFF" w:rsidRDefault="005B280E" w:rsidP="005B280E">
      <w:pPr>
        <w:keepNext/>
        <w:keepLines/>
        <w:spacing w:before="360" w:line="276" w:lineRule="auto"/>
        <w:outlineLvl w:val="0"/>
        <w:rPr>
          <w:rFonts w:asciiTheme="majorHAnsi" w:hAnsiTheme="majorHAnsi" w:cstheme="majorHAnsi"/>
          <w:b/>
          <w:bCs/>
          <w:color w:val="3A3467" w:themeColor="text2"/>
          <w:sz w:val="24"/>
          <w:szCs w:val="24"/>
        </w:rPr>
      </w:pPr>
      <w:bookmarkStart w:id="8" w:name="_Toc175741031"/>
      <w:r w:rsidRPr="000D2FFF">
        <w:rPr>
          <w:rFonts w:asciiTheme="majorHAnsi" w:eastAsiaTheme="majorEastAsia" w:hAnsiTheme="majorHAnsi" w:cstheme="minorHAnsi"/>
          <w:b/>
          <w:bCs/>
          <w:color w:val="3A3467" w:themeColor="text2"/>
          <w:sz w:val="24"/>
          <w:szCs w:val="24"/>
        </w:rPr>
        <w:t>Distinction</w:t>
      </w:r>
      <w:r w:rsidRPr="000D2FFF">
        <w:rPr>
          <w:rFonts w:asciiTheme="majorHAnsi" w:hAnsiTheme="majorHAnsi" w:cstheme="majorHAnsi"/>
          <w:b/>
          <w:color w:val="3A3467" w:themeColor="text2"/>
          <w:sz w:val="24"/>
          <w:szCs w:val="24"/>
        </w:rPr>
        <w:t xml:space="preserve"> </w:t>
      </w:r>
      <w:r w:rsidRPr="000D2FFF">
        <w:rPr>
          <w:rFonts w:asciiTheme="majorHAnsi" w:hAnsiTheme="majorHAnsi" w:cstheme="majorHAnsi"/>
          <w:b/>
          <w:bCs/>
          <w:color w:val="3A3467" w:themeColor="text2"/>
          <w:sz w:val="24"/>
          <w:szCs w:val="24"/>
        </w:rPr>
        <w:t>between Owner’s Costs and Consultancy Costs</w:t>
      </w:r>
      <w:bookmarkEnd w:id="8"/>
      <w:r w:rsidRPr="000D2FFF">
        <w:rPr>
          <w:rFonts w:asciiTheme="majorHAnsi" w:hAnsiTheme="majorHAnsi" w:cstheme="majorHAnsi"/>
          <w:b/>
          <w:bCs/>
          <w:color w:val="3A3467" w:themeColor="text2"/>
          <w:sz w:val="24"/>
          <w:szCs w:val="24"/>
        </w:rPr>
        <w:t xml:space="preserve"> </w:t>
      </w:r>
    </w:p>
    <w:p w14:paraId="040A4874" w14:textId="77777777" w:rsidR="005B280E" w:rsidRPr="000D2FFF" w:rsidRDefault="005B280E" w:rsidP="005B280E">
      <w:pPr>
        <w:jc w:val="both"/>
        <w:rPr>
          <w:lang w:val="en-US"/>
        </w:rPr>
      </w:pPr>
      <w:r w:rsidRPr="000D2FFF">
        <w:rPr>
          <w:lang w:val="en-GB"/>
        </w:rPr>
        <w:t>More</w:t>
      </w:r>
      <w:r w:rsidRPr="000D2FFF">
        <w:t xml:space="preserve"> complex projects may require larger project teams and higher administration and consultancy costs. Consultancy costs should only be included in the FTE forecast and budget for owner’s costs if the consultancy resource is integrated into the organisational structure (e.g. requires a desk, IT equipment and/or software, etc). </w:t>
      </w:r>
      <w:r w:rsidRPr="000D2FFF">
        <w:rPr>
          <w:lang w:val="en-US"/>
        </w:rPr>
        <w:t xml:space="preserve">If a resource is part of a major contract and not integrated into the </w:t>
      </w:r>
      <w:proofErr w:type="spellStart"/>
      <w:r w:rsidRPr="000D2FFF">
        <w:rPr>
          <w:lang w:val="en-US"/>
        </w:rPr>
        <w:t>organisational</w:t>
      </w:r>
      <w:proofErr w:type="spellEnd"/>
      <w:r w:rsidRPr="000D2FFF">
        <w:rPr>
          <w:lang w:val="en-US"/>
        </w:rPr>
        <w:t xml:space="preserve"> structure, </w:t>
      </w:r>
      <w:r>
        <w:t xml:space="preserve">it should not be included in </w:t>
      </w:r>
      <w:r w:rsidRPr="000D2FFF">
        <w:rPr>
          <w:lang w:val="en-US"/>
        </w:rPr>
        <w:t>owner’s costs.</w:t>
      </w:r>
    </w:p>
    <w:p w14:paraId="198A30E2" w14:textId="77777777" w:rsidR="005B280E" w:rsidRPr="000D2FFF" w:rsidRDefault="005B280E" w:rsidP="005B280E">
      <w:pPr>
        <w:keepNext/>
        <w:keepLines/>
        <w:spacing w:before="360" w:line="276" w:lineRule="auto"/>
        <w:outlineLvl w:val="0"/>
        <w:rPr>
          <w:rFonts w:asciiTheme="majorHAnsi" w:eastAsiaTheme="majorEastAsia" w:hAnsiTheme="majorHAnsi" w:cstheme="majorBidi"/>
          <w:b/>
          <w:color w:val="3A3467" w:themeColor="text2"/>
          <w:sz w:val="24"/>
          <w:szCs w:val="24"/>
          <w:lang w:val="en-GB"/>
        </w:rPr>
      </w:pPr>
      <w:bookmarkStart w:id="9" w:name="_Toc175646890"/>
      <w:r w:rsidRPr="000D2FFF">
        <w:rPr>
          <w:rFonts w:asciiTheme="majorHAnsi" w:eastAsiaTheme="majorEastAsia" w:hAnsiTheme="majorHAnsi" w:cstheme="minorHAnsi"/>
          <w:b/>
          <w:bCs/>
          <w:color w:val="3A3467" w:themeColor="text2"/>
          <w:sz w:val="24"/>
          <w:szCs w:val="24"/>
        </w:rPr>
        <w:t>Updated Owner’s Costs Reporting Structure</w:t>
      </w:r>
      <w:bookmarkEnd w:id="9"/>
      <w:r w:rsidRPr="000D2FFF">
        <w:rPr>
          <w:rFonts w:eastAsiaTheme="majorEastAsia" w:cstheme="minorHAnsi"/>
          <w:b/>
          <w:bCs/>
          <w:color w:val="3A3467" w:themeColor="text2"/>
          <w:sz w:val="24"/>
          <w:szCs w:val="24"/>
        </w:rPr>
        <w:t xml:space="preserve"> </w:t>
      </w:r>
    </w:p>
    <w:p w14:paraId="6581FE0E" w14:textId="77777777" w:rsidR="005B280E" w:rsidRPr="000D2FFF" w:rsidRDefault="005B280E" w:rsidP="005B280E">
      <w:pPr>
        <w:jc w:val="both"/>
        <w:rPr>
          <w:lang w:val="en-GB"/>
        </w:rPr>
      </w:pPr>
      <w:r w:rsidRPr="000D2FFF">
        <w:rPr>
          <w:lang w:val="en-GB"/>
        </w:rPr>
        <w:t xml:space="preserve">A more comprehensive owner’s cost reporting structure is shown in Table 1 below. The </w:t>
      </w:r>
      <w:r w:rsidRPr="000D2FFF">
        <w:rPr>
          <w:b/>
          <w:bCs/>
          <w:lang w:val="en-GB"/>
        </w:rPr>
        <w:t xml:space="preserve">main owner’s costs categories are </w:t>
      </w:r>
      <w:r w:rsidRPr="621F4606">
        <w:rPr>
          <w:b/>
          <w:bCs/>
          <w:lang w:val="en-GB"/>
        </w:rPr>
        <w:t xml:space="preserve">shown </w:t>
      </w:r>
      <w:r w:rsidRPr="000D2FFF">
        <w:rPr>
          <w:b/>
          <w:bCs/>
          <w:lang w:val="en-GB"/>
        </w:rPr>
        <w:t>in blue</w:t>
      </w:r>
      <w:r w:rsidRPr="000D2FFF">
        <w:rPr>
          <w:lang w:val="en-GB"/>
        </w:rPr>
        <w:t xml:space="preserve"> </w:t>
      </w:r>
      <w:r w:rsidRPr="000D2FFF">
        <w:rPr>
          <w:b/>
          <w:bCs/>
          <w:lang w:val="en-GB"/>
        </w:rPr>
        <w:t>in the lef</w:t>
      </w:r>
      <w:r w:rsidRPr="621F4606">
        <w:rPr>
          <w:b/>
          <w:bCs/>
          <w:lang w:val="en-GB"/>
        </w:rPr>
        <w:t>t</w:t>
      </w:r>
      <w:r w:rsidRPr="000D2FFF">
        <w:rPr>
          <w:b/>
          <w:bCs/>
          <w:lang w:val="en-GB"/>
        </w:rPr>
        <w:t xml:space="preserve"> column</w:t>
      </w:r>
      <w:r w:rsidRPr="000D2FFF">
        <w:rPr>
          <w:lang w:val="en-GB"/>
        </w:rPr>
        <w:t xml:space="preserve">, with examples of cost components listed in the right column. </w:t>
      </w:r>
      <w:r w:rsidRPr="000D2FFF">
        <w:rPr>
          <w:b/>
          <w:bCs/>
          <w:lang w:val="en-GB"/>
        </w:rPr>
        <w:t>The reporting of total owner’s costs for each of the relevant main categories is required by all delivery agencies</w:t>
      </w:r>
      <w:r w:rsidRPr="000D2FFF">
        <w:rPr>
          <w:lang w:val="en-GB"/>
        </w:rPr>
        <w:t>.</w:t>
      </w:r>
      <w:r w:rsidRPr="000D2FFF">
        <w:rPr>
          <w:bCs/>
          <w:vertAlign w:val="superscript"/>
          <w:lang w:val="en-GB"/>
        </w:rPr>
        <w:footnoteReference w:id="3"/>
      </w:r>
      <w:r w:rsidRPr="000D2FFF">
        <w:rPr>
          <w:lang w:val="en-GB"/>
        </w:rPr>
        <w:t xml:space="preserve"> </w:t>
      </w:r>
      <w:r w:rsidRPr="61F43C80">
        <w:t>DTF recognise that not all categories of owner’s costs will be relevant to every delivery agency’s project and/or program’s reporting structure. A</w:t>
      </w:r>
      <w:proofErr w:type="spellStart"/>
      <w:r>
        <w:rPr>
          <w:lang w:val="en-GB"/>
        </w:rPr>
        <w:t>s</w:t>
      </w:r>
      <w:proofErr w:type="spellEnd"/>
      <w:r w:rsidRPr="61F43C80">
        <w:rPr>
          <w:lang w:val="en-GB"/>
        </w:rPr>
        <w:t xml:space="preserve"> such, the costs should be aligned appropriately.</w:t>
      </w:r>
      <w:r w:rsidRPr="61F43C80">
        <w:rPr>
          <w:vertAlign w:val="superscript"/>
          <w:lang w:val="en-GB"/>
        </w:rPr>
        <w:footnoteReference w:id="4"/>
      </w:r>
    </w:p>
    <w:p w14:paraId="46FC4284" w14:textId="77777777" w:rsidR="005B280E" w:rsidRDefault="005B280E" w:rsidP="005B280E">
      <w:pPr>
        <w:spacing w:after="0"/>
        <w:jc w:val="both"/>
        <w:rPr>
          <w:lang w:val="en-GB"/>
        </w:rPr>
      </w:pPr>
      <w:r w:rsidRPr="033E8EFC">
        <w:rPr>
          <w:lang w:val="en-GB"/>
        </w:rPr>
        <w:t xml:space="preserve">The main sub-categories are shown in the left column in white italics, with the details of these specific cost components listed directly opposite. While a sub-category breakdown of owner’s costs is not required, it is provided as further guidance for the alignment of costs under the broader main category. </w:t>
      </w:r>
    </w:p>
    <w:p w14:paraId="2BB1D26B" w14:textId="77777777" w:rsidR="005B280E" w:rsidRDefault="005B280E" w:rsidP="005B280E">
      <w:pPr>
        <w:spacing w:after="0"/>
        <w:jc w:val="both"/>
        <w:rPr>
          <w:lang w:val="en-GB"/>
        </w:rPr>
      </w:pPr>
    </w:p>
    <w:p w14:paraId="5FE22883" w14:textId="77777777" w:rsidR="005B280E" w:rsidRPr="000D2FFF" w:rsidRDefault="005B280E" w:rsidP="005B280E">
      <w:pPr>
        <w:spacing w:after="0"/>
        <w:jc w:val="both"/>
        <w:rPr>
          <w:rFonts w:cstheme="minorHAnsi"/>
          <w:b/>
          <w:bCs/>
          <w:sz w:val="18"/>
          <w:szCs w:val="18"/>
        </w:rPr>
      </w:pPr>
      <w:r w:rsidRPr="000D2FFF">
        <w:rPr>
          <w:rFonts w:cstheme="minorHAnsi"/>
          <w:b/>
          <w:bCs/>
          <w:sz w:val="18"/>
          <w:szCs w:val="18"/>
        </w:rPr>
        <w:t>Table 1: standardised guidance for owner’s costs reporting structure – detailed</w:t>
      </w:r>
    </w:p>
    <w:p w14:paraId="02391B09" w14:textId="77777777" w:rsidR="005B280E" w:rsidRPr="000D2FFF" w:rsidRDefault="005B280E" w:rsidP="005B280E">
      <w:pPr>
        <w:spacing w:before="0" w:after="0"/>
        <w:jc w:val="center"/>
        <w:rPr>
          <w:rFonts w:cstheme="minorHAnsi"/>
          <w:b/>
          <w:bCs/>
          <w:sz w:val="18"/>
          <w:szCs w:val="18"/>
        </w:rPr>
      </w:pPr>
    </w:p>
    <w:tbl>
      <w:tblPr>
        <w:tblW w:w="91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395"/>
      </w:tblGrid>
      <w:tr w:rsidR="005B280E" w:rsidRPr="00314EE3" w14:paraId="7689039F" w14:textId="77777777">
        <w:trPr>
          <w:trHeight w:val="362"/>
        </w:trPr>
        <w:tc>
          <w:tcPr>
            <w:tcW w:w="2784" w:type="dxa"/>
            <w:tcBorders>
              <w:bottom w:val="nil"/>
            </w:tcBorders>
            <w:shd w:val="clear" w:color="auto" w:fill="323D52" w:themeFill="text1" w:themeFillTint="E6"/>
            <w:noWrap/>
          </w:tcPr>
          <w:p w14:paraId="63CEDBE5" w14:textId="77777777" w:rsidR="005B280E" w:rsidRPr="002C2DB8" w:rsidRDefault="005B280E">
            <w:pPr>
              <w:spacing w:before="0" w:after="0" w:line="240" w:lineRule="auto"/>
              <w:jc w:val="both"/>
              <w:rPr>
                <w:rFonts w:ascii="Arial" w:eastAsia="Times New Roman" w:hAnsi="Arial" w:cs="Arial"/>
                <w:b/>
                <w:color w:val="FFFFFF" w:themeColor="background1"/>
                <w:sz w:val="17"/>
                <w:szCs w:val="17"/>
                <w:lang w:val="en-GB"/>
              </w:rPr>
            </w:pPr>
            <w:r w:rsidRPr="002C2DB8">
              <w:rPr>
                <w:rFonts w:ascii="Arial" w:eastAsia="Times New Roman" w:hAnsi="Arial" w:cs="Arial"/>
                <w:b/>
                <w:color w:val="FFFFFF" w:themeColor="background1"/>
                <w:sz w:val="17"/>
                <w:szCs w:val="17"/>
                <w:lang w:val="en-GB"/>
              </w:rPr>
              <w:t>categories and sub-categories</w:t>
            </w:r>
          </w:p>
        </w:tc>
        <w:tc>
          <w:tcPr>
            <w:tcW w:w="6395" w:type="dxa"/>
            <w:tcBorders>
              <w:bottom w:val="nil"/>
            </w:tcBorders>
            <w:shd w:val="clear" w:color="auto" w:fill="323D52" w:themeFill="text1" w:themeFillTint="E6"/>
          </w:tcPr>
          <w:p w14:paraId="11D6BFCE" w14:textId="77777777" w:rsidR="005B280E" w:rsidRPr="002C2DB8" w:rsidRDefault="005B280E">
            <w:pPr>
              <w:spacing w:before="0" w:after="0" w:line="240" w:lineRule="auto"/>
              <w:rPr>
                <w:rFonts w:ascii="Arial" w:eastAsia="Times New Roman" w:hAnsi="Arial" w:cs="Arial"/>
                <w:b/>
                <w:color w:val="FFFFFF" w:themeColor="background1"/>
                <w:sz w:val="17"/>
                <w:szCs w:val="17"/>
                <w:lang w:val="en-GB"/>
              </w:rPr>
            </w:pPr>
            <w:r w:rsidRPr="002C2DB8">
              <w:rPr>
                <w:rFonts w:ascii="Arial" w:eastAsia="Times New Roman" w:hAnsi="Arial" w:cs="Arial"/>
                <w:b/>
                <w:color w:val="FFFFFF" w:themeColor="background1"/>
                <w:sz w:val="17"/>
                <w:szCs w:val="17"/>
                <w:lang w:val="en-GB"/>
              </w:rPr>
              <w:t>cost components</w:t>
            </w:r>
          </w:p>
        </w:tc>
      </w:tr>
      <w:tr w:rsidR="005B280E" w:rsidRPr="00314EE3" w14:paraId="0D633CC4" w14:textId="77777777">
        <w:trPr>
          <w:trHeight w:val="434"/>
        </w:trPr>
        <w:tc>
          <w:tcPr>
            <w:tcW w:w="2784" w:type="dxa"/>
            <w:tcBorders>
              <w:top w:val="single" w:sz="4" w:space="0" w:color="auto"/>
            </w:tcBorders>
            <w:shd w:val="clear" w:color="000000" w:fill="C2EBFA"/>
            <w:noWrap/>
            <w:hideMark/>
          </w:tcPr>
          <w:p w14:paraId="015CD70A" w14:textId="77777777" w:rsidR="005B280E" w:rsidRPr="00B30130" w:rsidRDefault="005B280E">
            <w:pPr>
              <w:spacing w:before="0" w:after="0" w:line="240" w:lineRule="auto"/>
              <w:jc w:val="both"/>
              <w:rPr>
                <w:rFonts w:ascii="Arial" w:eastAsia="Times New Roman" w:hAnsi="Arial" w:cs="Arial"/>
                <w:b/>
                <w:sz w:val="16"/>
                <w:szCs w:val="16"/>
              </w:rPr>
            </w:pPr>
            <w:bookmarkStart w:id="10" w:name="_Hlk167200671" w:colFirst="1" w:colLast="2"/>
            <w:bookmarkStart w:id="11" w:name="_Hlk168059242" w:colFirst="1" w:colLast="2"/>
            <w:r w:rsidRPr="00B30130">
              <w:rPr>
                <w:rFonts w:ascii="Arial" w:eastAsia="Times New Roman" w:hAnsi="Arial" w:cs="Arial"/>
                <w:b/>
                <w:sz w:val="16"/>
                <w:szCs w:val="16"/>
                <w:lang w:val="en-GB"/>
              </w:rPr>
              <w:t>Legal &amp; Commercial</w:t>
            </w:r>
          </w:p>
        </w:tc>
        <w:tc>
          <w:tcPr>
            <w:tcW w:w="6395" w:type="dxa"/>
            <w:tcBorders>
              <w:top w:val="single" w:sz="4" w:space="0" w:color="auto"/>
            </w:tcBorders>
            <w:shd w:val="clear" w:color="000000" w:fill="C2EBFA"/>
            <w:hideMark/>
          </w:tcPr>
          <w:p w14:paraId="61B239E0"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advisory services including cost estimation, legal, commercial, procurement, constructability, contract management, and probity advisors </w:t>
            </w:r>
          </w:p>
        </w:tc>
      </w:tr>
      <w:tr w:rsidR="005B280E" w:rsidRPr="00314EE3" w14:paraId="7C457B32" w14:textId="77777777">
        <w:trPr>
          <w:trHeight w:val="399"/>
        </w:trPr>
        <w:tc>
          <w:tcPr>
            <w:tcW w:w="2784" w:type="dxa"/>
            <w:shd w:val="clear" w:color="auto" w:fill="auto"/>
            <w:noWrap/>
            <w:hideMark/>
          </w:tcPr>
          <w:p w14:paraId="331EE9D8" w14:textId="77777777" w:rsidR="005B280E" w:rsidRPr="00B30130" w:rsidRDefault="005B280E">
            <w:pPr>
              <w:spacing w:before="0" w:after="0" w:line="240" w:lineRule="auto"/>
              <w:jc w:val="right"/>
              <w:rPr>
                <w:rFonts w:ascii="Arial" w:eastAsia="Times New Roman" w:hAnsi="Arial" w:cs="Arial"/>
                <w:i/>
                <w:sz w:val="16"/>
                <w:szCs w:val="16"/>
              </w:rPr>
            </w:pPr>
            <w:bookmarkStart w:id="12" w:name="RANGE!B3"/>
            <w:bookmarkStart w:id="13" w:name="_Hlk167200621" w:colFirst="2" w:colLast="2"/>
            <w:bookmarkEnd w:id="10"/>
            <w:r w:rsidRPr="00B30130">
              <w:rPr>
                <w:rFonts w:ascii="Arial" w:eastAsia="Times New Roman" w:hAnsi="Arial" w:cs="Arial"/>
                <w:i/>
                <w:sz w:val="16"/>
                <w:szCs w:val="16"/>
                <w:lang w:val="en-GB"/>
              </w:rPr>
              <w:t>procurement advisory</w:t>
            </w:r>
            <w:bookmarkEnd w:id="12"/>
          </w:p>
        </w:tc>
        <w:tc>
          <w:tcPr>
            <w:tcW w:w="6395" w:type="dxa"/>
            <w:shd w:val="clear" w:color="auto" w:fill="auto"/>
            <w:hideMark/>
          </w:tcPr>
          <w:p w14:paraId="43FDD79D"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 xml:space="preserve">costs involved with acquiring goods and services with external sources e.g. transport/shipping/freight costs and customs duties, warehousing etc. </w:t>
            </w:r>
          </w:p>
        </w:tc>
      </w:tr>
      <w:tr w:rsidR="005B280E" w:rsidRPr="00314EE3" w14:paraId="0843B506" w14:textId="77777777">
        <w:trPr>
          <w:trHeight w:val="209"/>
        </w:trPr>
        <w:tc>
          <w:tcPr>
            <w:tcW w:w="2784" w:type="dxa"/>
            <w:shd w:val="clear" w:color="auto" w:fill="auto"/>
            <w:noWrap/>
            <w:hideMark/>
          </w:tcPr>
          <w:p w14:paraId="10943337"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commercial advisory</w:t>
            </w:r>
          </w:p>
        </w:tc>
        <w:tc>
          <w:tcPr>
            <w:tcW w:w="6395" w:type="dxa"/>
            <w:shd w:val="clear" w:color="auto" w:fill="auto"/>
            <w:hideMark/>
          </w:tcPr>
          <w:p w14:paraId="207D76CF"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market analysis, business development, strategic planning, consulting fees etc.</w:t>
            </w:r>
          </w:p>
        </w:tc>
      </w:tr>
      <w:tr w:rsidR="005B280E" w:rsidRPr="00314EE3" w14:paraId="51883719" w14:textId="77777777">
        <w:trPr>
          <w:trHeight w:val="127"/>
        </w:trPr>
        <w:tc>
          <w:tcPr>
            <w:tcW w:w="2784" w:type="dxa"/>
            <w:shd w:val="clear" w:color="auto" w:fill="auto"/>
            <w:noWrap/>
            <w:hideMark/>
          </w:tcPr>
          <w:p w14:paraId="28846825"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legal and contractual costs</w:t>
            </w:r>
          </w:p>
        </w:tc>
        <w:tc>
          <w:tcPr>
            <w:tcW w:w="6395" w:type="dxa"/>
            <w:shd w:val="clear" w:color="auto" w:fill="auto"/>
            <w:hideMark/>
          </w:tcPr>
          <w:p w14:paraId="7A9C196C"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contract drafting, negotiations, legal advice, due diligence, payments etc.</w:t>
            </w:r>
          </w:p>
        </w:tc>
      </w:tr>
      <w:tr w:rsidR="005B280E" w:rsidRPr="00314EE3" w14:paraId="2ED4B796" w14:textId="77777777">
        <w:trPr>
          <w:trHeight w:val="167"/>
        </w:trPr>
        <w:tc>
          <w:tcPr>
            <w:tcW w:w="2784" w:type="dxa"/>
            <w:shd w:val="clear" w:color="auto" w:fill="auto"/>
            <w:noWrap/>
            <w:hideMark/>
          </w:tcPr>
          <w:p w14:paraId="71B6A574"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staff related costs</w:t>
            </w:r>
          </w:p>
        </w:tc>
        <w:tc>
          <w:tcPr>
            <w:tcW w:w="6395" w:type="dxa"/>
            <w:shd w:val="clear" w:color="auto" w:fill="auto"/>
            <w:hideMark/>
          </w:tcPr>
          <w:p w14:paraId="06F63826"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staff costs, resources, admin, and other office costs</w:t>
            </w:r>
          </w:p>
        </w:tc>
      </w:tr>
      <w:tr w:rsidR="005B280E" w:rsidRPr="00314EE3" w14:paraId="5BE55E98" w14:textId="77777777">
        <w:trPr>
          <w:trHeight w:val="139"/>
        </w:trPr>
        <w:tc>
          <w:tcPr>
            <w:tcW w:w="2784" w:type="dxa"/>
            <w:shd w:val="clear" w:color="auto" w:fill="auto"/>
            <w:noWrap/>
            <w:hideMark/>
          </w:tcPr>
          <w:p w14:paraId="3193CEA8"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other</w:t>
            </w:r>
          </w:p>
        </w:tc>
        <w:tc>
          <w:tcPr>
            <w:tcW w:w="6395" w:type="dxa"/>
            <w:shd w:val="clear" w:color="auto" w:fill="auto"/>
            <w:hideMark/>
          </w:tcPr>
          <w:p w14:paraId="0E6BE2B8"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probity services, audit services, alliance advisors, IT related costs, contractors general</w:t>
            </w:r>
          </w:p>
        </w:tc>
      </w:tr>
      <w:bookmarkEnd w:id="13"/>
      <w:tr w:rsidR="005B280E" w:rsidRPr="00314EE3" w14:paraId="44A2F88A" w14:textId="77777777">
        <w:trPr>
          <w:trHeight w:val="336"/>
        </w:trPr>
        <w:tc>
          <w:tcPr>
            <w:tcW w:w="2784" w:type="dxa"/>
            <w:shd w:val="clear" w:color="000000" w:fill="C2EBFA"/>
            <w:noWrap/>
            <w:hideMark/>
          </w:tcPr>
          <w:p w14:paraId="096ADE70" w14:textId="77777777" w:rsidR="005B280E" w:rsidRPr="00B30130" w:rsidRDefault="005B280E">
            <w:pPr>
              <w:spacing w:before="0" w:after="0" w:line="240" w:lineRule="auto"/>
              <w:jc w:val="both"/>
              <w:rPr>
                <w:rFonts w:ascii="Arial" w:eastAsia="Times New Roman" w:hAnsi="Arial" w:cs="Arial"/>
                <w:b/>
                <w:sz w:val="16"/>
                <w:szCs w:val="16"/>
              </w:rPr>
            </w:pPr>
            <w:r w:rsidRPr="00B30130">
              <w:rPr>
                <w:rFonts w:ascii="Arial" w:eastAsia="Times New Roman" w:hAnsi="Arial" w:cs="Arial"/>
                <w:b/>
                <w:sz w:val="16"/>
                <w:szCs w:val="16"/>
                <w:lang w:val="en-GB"/>
              </w:rPr>
              <w:t>Design &amp; Engineering</w:t>
            </w:r>
          </w:p>
        </w:tc>
        <w:tc>
          <w:tcPr>
            <w:tcW w:w="6395" w:type="dxa"/>
            <w:shd w:val="clear" w:color="000000" w:fill="C2EBFA"/>
            <w:hideMark/>
          </w:tcPr>
          <w:p w14:paraId="63E433C5"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design, engineering, concept, and detailed design</w:t>
            </w:r>
          </w:p>
        </w:tc>
      </w:tr>
      <w:tr w:rsidR="005B280E" w:rsidRPr="00314EE3" w14:paraId="5738CCB3" w14:textId="77777777">
        <w:trPr>
          <w:trHeight w:val="404"/>
        </w:trPr>
        <w:tc>
          <w:tcPr>
            <w:tcW w:w="2784" w:type="dxa"/>
            <w:shd w:val="clear" w:color="auto" w:fill="auto"/>
            <w:noWrap/>
            <w:hideMark/>
          </w:tcPr>
          <w:p w14:paraId="3B259628" w14:textId="77777777" w:rsidR="005B280E" w:rsidRPr="00B30130" w:rsidRDefault="005B280E">
            <w:pPr>
              <w:spacing w:before="0" w:after="0" w:line="240" w:lineRule="auto"/>
              <w:jc w:val="right"/>
              <w:rPr>
                <w:rFonts w:ascii="Arial" w:eastAsia="Times New Roman" w:hAnsi="Arial" w:cs="Arial"/>
                <w:i/>
                <w:sz w:val="16"/>
                <w:szCs w:val="16"/>
              </w:rPr>
            </w:pPr>
            <w:bookmarkStart w:id="14" w:name="_Hlk167199540" w:colFirst="2" w:colLast="2"/>
            <w:r w:rsidRPr="00B30130">
              <w:rPr>
                <w:rFonts w:ascii="Arial" w:eastAsia="Times New Roman" w:hAnsi="Arial" w:cs="Arial"/>
                <w:i/>
                <w:sz w:val="16"/>
                <w:szCs w:val="16"/>
                <w:lang w:val="en-GB"/>
              </w:rPr>
              <w:t>civil</w:t>
            </w:r>
          </w:p>
        </w:tc>
        <w:tc>
          <w:tcPr>
            <w:tcW w:w="6395" w:type="dxa"/>
            <w:shd w:val="clear" w:color="000000" w:fill="FFFFFF"/>
            <w:hideMark/>
          </w:tcPr>
          <w:p w14:paraId="2BFE5612"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design support construction, design support procurement, design project management, cost estimators/Quantity Surveyor services</w:t>
            </w:r>
          </w:p>
        </w:tc>
      </w:tr>
      <w:tr w:rsidR="005B280E" w:rsidRPr="00314EE3" w14:paraId="2895ADC8" w14:textId="77777777">
        <w:trPr>
          <w:trHeight w:val="549"/>
        </w:trPr>
        <w:tc>
          <w:tcPr>
            <w:tcW w:w="2784" w:type="dxa"/>
            <w:shd w:val="clear" w:color="auto" w:fill="auto"/>
            <w:noWrap/>
            <w:hideMark/>
          </w:tcPr>
          <w:p w14:paraId="3911D8E7"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architectural</w:t>
            </w:r>
          </w:p>
        </w:tc>
        <w:tc>
          <w:tcPr>
            <w:tcW w:w="6395" w:type="dxa"/>
            <w:shd w:val="clear" w:color="auto" w:fill="auto"/>
            <w:hideMark/>
          </w:tcPr>
          <w:p w14:paraId="7CBAE2A4"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structural engineering, functional design, final reference design, detailed design, planning and overall design, spatial layout, functionality and building structure, general architectural design</w:t>
            </w:r>
          </w:p>
        </w:tc>
      </w:tr>
      <w:tr w:rsidR="005B280E" w:rsidRPr="00314EE3" w14:paraId="1AFC4A66" w14:textId="77777777">
        <w:trPr>
          <w:trHeight w:val="214"/>
        </w:trPr>
        <w:tc>
          <w:tcPr>
            <w:tcW w:w="2784" w:type="dxa"/>
            <w:shd w:val="clear" w:color="auto" w:fill="auto"/>
            <w:noWrap/>
            <w:hideMark/>
          </w:tcPr>
          <w:p w14:paraId="1138A368"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mechanical and electrical</w:t>
            </w:r>
          </w:p>
        </w:tc>
        <w:tc>
          <w:tcPr>
            <w:tcW w:w="6395" w:type="dxa"/>
            <w:shd w:val="clear" w:color="auto" w:fill="auto"/>
            <w:hideMark/>
          </w:tcPr>
          <w:p w14:paraId="44E186C7"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noise and acoustic monitoring etc.</w:t>
            </w:r>
          </w:p>
        </w:tc>
      </w:tr>
      <w:tr w:rsidR="005B280E" w:rsidRPr="00314EE3" w14:paraId="30F1C3AF" w14:textId="77777777">
        <w:trPr>
          <w:trHeight w:val="131"/>
        </w:trPr>
        <w:tc>
          <w:tcPr>
            <w:tcW w:w="2784" w:type="dxa"/>
            <w:shd w:val="clear" w:color="auto" w:fill="auto"/>
            <w:noWrap/>
            <w:hideMark/>
          </w:tcPr>
          <w:p w14:paraId="5BBEF72E"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digital</w:t>
            </w:r>
          </w:p>
        </w:tc>
        <w:tc>
          <w:tcPr>
            <w:tcW w:w="6395" w:type="dxa"/>
            <w:shd w:val="clear" w:color="auto" w:fill="auto"/>
            <w:hideMark/>
          </w:tcPr>
          <w:p w14:paraId="481D8E88"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IT related costs, digital engineering, software</w:t>
            </w:r>
          </w:p>
        </w:tc>
      </w:tr>
      <w:tr w:rsidR="005B280E" w:rsidRPr="00314EE3" w14:paraId="4C57D521" w14:textId="77777777">
        <w:trPr>
          <w:trHeight w:val="255"/>
        </w:trPr>
        <w:tc>
          <w:tcPr>
            <w:tcW w:w="2784" w:type="dxa"/>
            <w:shd w:val="clear" w:color="auto" w:fill="auto"/>
            <w:noWrap/>
            <w:hideMark/>
          </w:tcPr>
          <w:p w14:paraId="45ECE6F7"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land and development property</w:t>
            </w:r>
          </w:p>
        </w:tc>
        <w:tc>
          <w:tcPr>
            <w:tcW w:w="6395" w:type="dxa"/>
            <w:shd w:val="clear" w:color="auto" w:fill="auto"/>
            <w:hideMark/>
          </w:tcPr>
          <w:p w14:paraId="2C657C21"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urban planning/design, strategic options analysis, site surveys and valuations</w:t>
            </w:r>
          </w:p>
        </w:tc>
      </w:tr>
      <w:tr w:rsidR="005B280E" w:rsidRPr="00314EE3" w14:paraId="5182CB71" w14:textId="77777777">
        <w:trPr>
          <w:trHeight w:val="155"/>
        </w:trPr>
        <w:tc>
          <w:tcPr>
            <w:tcW w:w="2784" w:type="dxa"/>
            <w:shd w:val="clear" w:color="auto" w:fill="auto"/>
            <w:noWrap/>
            <w:hideMark/>
          </w:tcPr>
          <w:p w14:paraId="60983657"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safety</w:t>
            </w:r>
          </w:p>
        </w:tc>
        <w:tc>
          <w:tcPr>
            <w:tcW w:w="6395" w:type="dxa"/>
            <w:shd w:val="clear" w:color="auto" w:fill="auto"/>
            <w:hideMark/>
          </w:tcPr>
          <w:p w14:paraId="4A69A243"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traffic management planning, regulatory compliance, investigations etc.</w:t>
            </w:r>
          </w:p>
        </w:tc>
      </w:tr>
      <w:tr w:rsidR="005B280E" w:rsidRPr="00314EE3" w14:paraId="41FC5663" w14:textId="77777777">
        <w:trPr>
          <w:trHeight w:val="91"/>
        </w:trPr>
        <w:tc>
          <w:tcPr>
            <w:tcW w:w="2784" w:type="dxa"/>
            <w:shd w:val="clear" w:color="auto" w:fill="auto"/>
            <w:noWrap/>
            <w:hideMark/>
          </w:tcPr>
          <w:p w14:paraId="21C3857F"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staff related costs</w:t>
            </w:r>
          </w:p>
        </w:tc>
        <w:tc>
          <w:tcPr>
            <w:tcW w:w="6395" w:type="dxa"/>
            <w:shd w:val="clear" w:color="auto" w:fill="auto"/>
            <w:hideMark/>
          </w:tcPr>
          <w:p w14:paraId="64E50BA3"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staff costs, resources, admin, and other office costs</w:t>
            </w:r>
          </w:p>
        </w:tc>
      </w:tr>
      <w:tr w:rsidR="005B280E" w:rsidRPr="00314EE3" w14:paraId="6B5BD613" w14:textId="77777777">
        <w:trPr>
          <w:trHeight w:val="197"/>
        </w:trPr>
        <w:tc>
          <w:tcPr>
            <w:tcW w:w="2784" w:type="dxa"/>
            <w:shd w:val="clear" w:color="auto" w:fill="auto"/>
            <w:noWrap/>
            <w:hideMark/>
          </w:tcPr>
          <w:p w14:paraId="088AFC92"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 xml:space="preserve">other </w:t>
            </w:r>
          </w:p>
        </w:tc>
        <w:tc>
          <w:tcPr>
            <w:tcW w:w="6395" w:type="dxa"/>
            <w:shd w:val="clear" w:color="auto" w:fill="auto"/>
            <w:hideMark/>
          </w:tcPr>
          <w:p w14:paraId="57081008"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contractors general</w:t>
            </w:r>
          </w:p>
        </w:tc>
      </w:tr>
      <w:bookmarkEnd w:id="14"/>
      <w:tr w:rsidR="005B280E" w:rsidRPr="00314EE3" w14:paraId="7355C127" w14:textId="77777777">
        <w:trPr>
          <w:trHeight w:val="438"/>
        </w:trPr>
        <w:tc>
          <w:tcPr>
            <w:tcW w:w="2784" w:type="dxa"/>
            <w:shd w:val="clear" w:color="000000" w:fill="C2EBFA"/>
            <w:noWrap/>
            <w:hideMark/>
          </w:tcPr>
          <w:p w14:paraId="3D308892" w14:textId="77777777" w:rsidR="005B280E" w:rsidRPr="00B30130" w:rsidRDefault="005B280E">
            <w:pPr>
              <w:spacing w:before="0" w:after="0" w:line="240" w:lineRule="auto"/>
              <w:jc w:val="both"/>
              <w:rPr>
                <w:rFonts w:ascii="Arial" w:eastAsia="Times New Roman" w:hAnsi="Arial" w:cs="Arial"/>
                <w:b/>
                <w:sz w:val="16"/>
                <w:szCs w:val="16"/>
              </w:rPr>
            </w:pPr>
            <w:r w:rsidRPr="00B30130">
              <w:rPr>
                <w:rFonts w:ascii="Arial" w:eastAsia="Times New Roman" w:hAnsi="Arial" w:cs="Arial"/>
                <w:b/>
                <w:sz w:val="16"/>
                <w:szCs w:val="16"/>
                <w:lang w:val="en-GB"/>
              </w:rPr>
              <w:t xml:space="preserve">Project Management </w:t>
            </w:r>
          </w:p>
        </w:tc>
        <w:tc>
          <w:tcPr>
            <w:tcW w:w="6395" w:type="dxa"/>
            <w:shd w:val="clear" w:color="000000" w:fill="C2EBFA"/>
            <w:hideMark/>
          </w:tcPr>
          <w:p w14:paraId="09F411A6" w14:textId="77777777" w:rsidR="005B280E" w:rsidRPr="00B30130" w:rsidRDefault="005B280E">
            <w:pPr>
              <w:spacing w:before="0" w:after="0" w:line="240" w:lineRule="auto"/>
              <w:rPr>
                <w:rFonts w:ascii="Arial" w:eastAsia="Times New Roman" w:hAnsi="Arial" w:cs="Arial"/>
                <w:sz w:val="16"/>
                <w:szCs w:val="16"/>
              </w:rPr>
            </w:pPr>
            <w:bookmarkStart w:id="15" w:name="RANGE!C17"/>
            <w:r w:rsidRPr="00B30130">
              <w:rPr>
                <w:rFonts w:ascii="Arial" w:eastAsia="Times New Roman" w:hAnsi="Arial" w:cs="Arial"/>
                <w:sz w:val="16"/>
                <w:szCs w:val="16"/>
                <w:lang w:val="en-GB"/>
              </w:rPr>
              <w:t>project management staff, package development, industry capability, office/general expenses</w:t>
            </w:r>
            <w:bookmarkEnd w:id="15"/>
          </w:p>
        </w:tc>
      </w:tr>
      <w:tr w:rsidR="005B280E" w:rsidRPr="00314EE3" w14:paraId="6ACEB063" w14:textId="77777777">
        <w:trPr>
          <w:trHeight w:val="362"/>
        </w:trPr>
        <w:tc>
          <w:tcPr>
            <w:tcW w:w="2784" w:type="dxa"/>
            <w:shd w:val="clear" w:color="auto" w:fill="auto"/>
            <w:noWrap/>
            <w:hideMark/>
          </w:tcPr>
          <w:p w14:paraId="3BDFE9AF"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resources</w:t>
            </w:r>
          </w:p>
        </w:tc>
        <w:tc>
          <w:tcPr>
            <w:tcW w:w="6395" w:type="dxa"/>
            <w:shd w:val="clear" w:color="auto" w:fill="auto"/>
            <w:hideMark/>
          </w:tcPr>
          <w:p w14:paraId="1814A370"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office/general expenses, training and educational programs/workshops, package development</w:t>
            </w:r>
          </w:p>
        </w:tc>
      </w:tr>
      <w:tr w:rsidR="005B280E" w:rsidRPr="00314EE3" w14:paraId="11C8D3CB" w14:textId="77777777">
        <w:trPr>
          <w:trHeight w:val="76"/>
        </w:trPr>
        <w:tc>
          <w:tcPr>
            <w:tcW w:w="2784" w:type="dxa"/>
            <w:shd w:val="clear" w:color="auto" w:fill="auto"/>
            <w:noWrap/>
            <w:hideMark/>
          </w:tcPr>
          <w:p w14:paraId="1651C8B8"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staff related costs</w:t>
            </w:r>
          </w:p>
        </w:tc>
        <w:tc>
          <w:tcPr>
            <w:tcW w:w="6395" w:type="dxa"/>
            <w:shd w:val="clear" w:color="auto" w:fill="auto"/>
            <w:hideMark/>
          </w:tcPr>
          <w:p w14:paraId="5A8DECF8"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staff costs, admin, and other office costs</w:t>
            </w:r>
          </w:p>
        </w:tc>
      </w:tr>
      <w:tr w:rsidR="005B280E" w:rsidRPr="00314EE3" w14:paraId="5507B900" w14:textId="77777777">
        <w:trPr>
          <w:trHeight w:val="182"/>
        </w:trPr>
        <w:tc>
          <w:tcPr>
            <w:tcW w:w="2784" w:type="dxa"/>
            <w:shd w:val="clear" w:color="auto" w:fill="auto"/>
            <w:noWrap/>
            <w:hideMark/>
          </w:tcPr>
          <w:p w14:paraId="6071C339"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other</w:t>
            </w:r>
          </w:p>
        </w:tc>
        <w:tc>
          <w:tcPr>
            <w:tcW w:w="6395" w:type="dxa"/>
            <w:shd w:val="clear" w:color="auto" w:fill="auto"/>
            <w:hideMark/>
          </w:tcPr>
          <w:p w14:paraId="075B4F8E"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industry capability, contractors general</w:t>
            </w:r>
          </w:p>
        </w:tc>
      </w:tr>
      <w:tr w:rsidR="005B280E" w:rsidRPr="00314EE3" w14:paraId="1805DF85" w14:textId="77777777">
        <w:trPr>
          <w:trHeight w:val="500"/>
        </w:trPr>
        <w:tc>
          <w:tcPr>
            <w:tcW w:w="2784" w:type="dxa"/>
            <w:shd w:val="clear" w:color="000000" w:fill="C2EBFA"/>
            <w:noWrap/>
            <w:hideMark/>
          </w:tcPr>
          <w:p w14:paraId="24511A9B"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Communications &amp; Stakeholder Relations</w:t>
            </w:r>
          </w:p>
        </w:tc>
        <w:tc>
          <w:tcPr>
            <w:tcW w:w="6395" w:type="dxa"/>
            <w:shd w:val="clear" w:color="000000" w:fill="C2EBFA"/>
            <w:hideMark/>
          </w:tcPr>
          <w:p w14:paraId="56766B79" w14:textId="77777777" w:rsidR="005B280E" w:rsidRPr="00B30130" w:rsidRDefault="005B280E">
            <w:pPr>
              <w:spacing w:before="0" w:after="0" w:line="240" w:lineRule="auto"/>
              <w:rPr>
                <w:rFonts w:ascii="Arial" w:eastAsia="Times New Roman" w:hAnsi="Arial" w:cs="Arial"/>
                <w:sz w:val="16"/>
                <w:szCs w:val="16"/>
              </w:rPr>
            </w:pPr>
            <w:bookmarkStart w:id="16" w:name="RANGE!C21"/>
            <w:r w:rsidRPr="00B30130">
              <w:rPr>
                <w:rFonts w:ascii="Arial" w:eastAsia="Times New Roman" w:hAnsi="Arial" w:cs="Arial"/>
                <w:sz w:val="16"/>
                <w:szCs w:val="16"/>
                <w:lang w:val="en-GB"/>
              </w:rPr>
              <w:t>corporate and media affairs, stakeholder relations and communications including with utility providers, agencies, operators, council, and community consultation</w:t>
            </w:r>
            <w:bookmarkEnd w:id="16"/>
          </w:p>
        </w:tc>
      </w:tr>
      <w:tr w:rsidR="005B280E" w:rsidRPr="00314EE3" w14:paraId="17259E5D" w14:textId="77777777">
        <w:trPr>
          <w:trHeight w:val="362"/>
        </w:trPr>
        <w:tc>
          <w:tcPr>
            <w:tcW w:w="2784" w:type="dxa"/>
            <w:shd w:val="clear" w:color="auto" w:fill="auto"/>
            <w:noWrap/>
            <w:hideMark/>
          </w:tcPr>
          <w:p w14:paraId="345CADA2"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advertising and marketing</w:t>
            </w:r>
          </w:p>
        </w:tc>
        <w:tc>
          <w:tcPr>
            <w:tcW w:w="6395" w:type="dxa"/>
            <w:shd w:val="clear" w:color="auto" w:fill="auto"/>
            <w:hideMark/>
          </w:tcPr>
          <w:p w14:paraId="627E0228"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general, campaign and functional advertising, signage, events, promotional items, publications, marketing</w:t>
            </w:r>
          </w:p>
        </w:tc>
      </w:tr>
      <w:tr w:rsidR="005B280E" w:rsidRPr="00314EE3" w14:paraId="4C426FE6" w14:textId="77777777">
        <w:trPr>
          <w:trHeight w:val="362"/>
        </w:trPr>
        <w:tc>
          <w:tcPr>
            <w:tcW w:w="2784" w:type="dxa"/>
            <w:shd w:val="clear" w:color="auto" w:fill="auto"/>
            <w:noWrap/>
            <w:hideMark/>
          </w:tcPr>
          <w:p w14:paraId="1939037E"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stakeholders</w:t>
            </w:r>
          </w:p>
        </w:tc>
        <w:tc>
          <w:tcPr>
            <w:tcW w:w="6395" w:type="dxa"/>
            <w:shd w:val="clear" w:color="000000" w:fill="FFFFFF"/>
            <w:hideMark/>
          </w:tcPr>
          <w:p w14:paraId="3B47CAF8"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stakeholder support and engagement, councils, third party communications, and stakeholder relations</w:t>
            </w:r>
          </w:p>
        </w:tc>
      </w:tr>
      <w:tr w:rsidR="005B280E" w:rsidRPr="00314EE3" w14:paraId="21BE9C3D" w14:textId="77777777">
        <w:trPr>
          <w:trHeight w:val="71"/>
        </w:trPr>
        <w:tc>
          <w:tcPr>
            <w:tcW w:w="2784" w:type="dxa"/>
            <w:shd w:val="clear" w:color="auto" w:fill="auto"/>
            <w:noWrap/>
            <w:hideMark/>
          </w:tcPr>
          <w:p w14:paraId="2BCBA24C" w14:textId="77777777" w:rsidR="005B280E" w:rsidRPr="00B30130" w:rsidRDefault="005B280E">
            <w:pPr>
              <w:spacing w:before="0" w:after="0" w:line="240" w:lineRule="auto"/>
              <w:jc w:val="right"/>
              <w:rPr>
                <w:rFonts w:ascii="Arial" w:eastAsia="Times New Roman" w:hAnsi="Arial" w:cs="Arial"/>
                <w:i/>
                <w:sz w:val="16"/>
                <w:szCs w:val="16"/>
              </w:rPr>
            </w:pPr>
            <w:r w:rsidRPr="00B30130">
              <w:rPr>
                <w:rFonts w:ascii="Arial" w:eastAsia="Times New Roman" w:hAnsi="Arial" w:cs="Arial"/>
                <w:i/>
                <w:sz w:val="16"/>
                <w:szCs w:val="16"/>
                <w:lang w:val="en-GB"/>
              </w:rPr>
              <w:t>staff related costs</w:t>
            </w:r>
          </w:p>
        </w:tc>
        <w:tc>
          <w:tcPr>
            <w:tcW w:w="6395" w:type="dxa"/>
            <w:shd w:val="clear" w:color="auto" w:fill="auto"/>
            <w:hideMark/>
          </w:tcPr>
          <w:p w14:paraId="3E1E0BFC"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staff costs, resources, admin, and other office costs</w:t>
            </w:r>
          </w:p>
        </w:tc>
      </w:tr>
      <w:tr w:rsidR="005B280E" w:rsidRPr="00314EE3" w14:paraId="6C140120" w14:textId="77777777">
        <w:trPr>
          <w:trHeight w:val="104"/>
        </w:trPr>
        <w:tc>
          <w:tcPr>
            <w:tcW w:w="2784" w:type="dxa"/>
            <w:tcBorders>
              <w:bottom w:val="single" w:sz="4" w:space="0" w:color="auto"/>
            </w:tcBorders>
            <w:shd w:val="clear" w:color="auto" w:fill="auto"/>
            <w:noWrap/>
            <w:hideMark/>
          </w:tcPr>
          <w:p w14:paraId="287C93E6" w14:textId="77777777" w:rsidR="005B280E" w:rsidRPr="00B30130" w:rsidRDefault="005B280E">
            <w:pPr>
              <w:spacing w:before="0" w:after="0" w:line="240" w:lineRule="auto"/>
              <w:jc w:val="right"/>
              <w:rPr>
                <w:rFonts w:ascii="Arial" w:eastAsia="Times New Roman" w:hAnsi="Arial" w:cs="Arial"/>
                <w:i/>
                <w:sz w:val="16"/>
                <w:szCs w:val="16"/>
              </w:rPr>
            </w:pPr>
            <w:bookmarkStart w:id="17" w:name="RANGE!B25"/>
            <w:r w:rsidRPr="00B30130">
              <w:rPr>
                <w:rFonts w:ascii="Arial" w:eastAsia="Times New Roman" w:hAnsi="Arial" w:cs="Arial"/>
                <w:i/>
                <w:sz w:val="16"/>
                <w:szCs w:val="16"/>
                <w:lang w:val="en-GB"/>
              </w:rPr>
              <w:t>other</w:t>
            </w:r>
            <w:bookmarkEnd w:id="17"/>
          </w:p>
        </w:tc>
        <w:tc>
          <w:tcPr>
            <w:tcW w:w="6395" w:type="dxa"/>
            <w:tcBorders>
              <w:bottom w:val="single" w:sz="4" w:space="0" w:color="auto"/>
            </w:tcBorders>
            <w:shd w:val="clear" w:color="auto" w:fill="auto"/>
            <w:hideMark/>
          </w:tcPr>
          <w:p w14:paraId="4E4299D3"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Key Performance Indicator (KPI) surveys, call centres, 3D modelling etc.</w:t>
            </w:r>
          </w:p>
        </w:tc>
      </w:tr>
      <w:tr w:rsidR="005B280E" w:rsidRPr="00314EE3" w14:paraId="03C91D7B" w14:textId="77777777">
        <w:trPr>
          <w:trHeight w:val="408"/>
        </w:trPr>
        <w:tc>
          <w:tcPr>
            <w:tcW w:w="2784" w:type="dxa"/>
            <w:tcBorders>
              <w:bottom w:val="single" w:sz="4" w:space="0" w:color="auto"/>
            </w:tcBorders>
            <w:shd w:val="clear" w:color="000000" w:fill="C2EBFA"/>
            <w:noWrap/>
            <w:hideMark/>
          </w:tcPr>
          <w:p w14:paraId="567C21C8" w14:textId="77777777" w:rsidR="005B280E" w:rsidRPr="00B30130" w:rsidRDefault="005B280E">
            <w:pPr>
              <w:spacing w:before="0" w:after="0" w:line="240" w:lineRule="auto"/>
              <w:jc w:val="both"/>
              <w:rPr>
                <w:rFonts w:ascii="Arial" w:eastAsia="Times New Roman" w:hAnsi="Arial" w:cs="Arial"/>
                <w:b/>
                <w:sz w:val="16"/>
                <w:szCs w:val="16"/>
              </w:rPr>
            </w:pPr>
            <w:r w:rsidRPr="00B30130">
              <w:rPr>
                <w:rFonts w:ascii="Arial" w:eastAsia="Times New Roman" w:hAnsi="Arial" w:cs="Arial"/>
                <w:b/>
                <w:sz w:val="16"/>
                <w:szCs w:val="16"/>
                <w:lang w:val="en-GB"/>
              </w:rPr>
              <w:t>Stakeholder Reimbursements</w:t>
            </w:r>
          </w:p>
        </w:tc>
        <w:tc>
          <w:tcPr>
            <w:tcW w:w="6395" w:type="dxa"/>
            <w:tcBorders>
              <w:bottom w:val="single" w:sz="4" w:space="0" w:color="auto"/>
            </w:tcBorders>
            <w:shd w:val="clear" w:color="000000" w:fill="C2EBFA"/>
            <w:hideMark/>
          </w:tcPr>
          <w:p w14:paraId="7328EAEB"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stakeholder reimbursements (project/program admin related), stakeholder reimbursements (excluding private operator payments and unsuccessful bid fees)</w:t>
            </w:r>
          </w:p>
        </w:tc>
      </w:tr>
      <w:tr w:rsidR="005B280E" w:rsidRPr="00314EE3" w14:paraId="2175B770" w14:textId="77777777">
        <w:trPr>
          <w:trHeight w:val="980"/>
        </w:trPr>
        <w:tc>
          <w:tcPr>
            <w:tcW w:w="2784" w:type="dxa"/>
            <w:tcBorders>
              <w:top w:val="single" w:sz="4" w:space="0" w:color="auto"/>
              <w:left w:val="single" w:sz="4" w:space="0" w:color="auto"/>
              <w:bottom w:val="single" w:sz="4" w:space="0" w:color="auto"/>
              <w:right w:val="single" w:sz="4" w:space="0" w:color="auto"/>
            </w:tcBorders>
            <w:shd w:val="clear" w:color="auto" w:fill="C2EBFA" w:themeFill="background2"/>
            <w:noWrap/>
            <w:hideMark/>
          </w:tcPr>
          <w:p w14:paraId="557C9E92"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Land Planning &amp; Environment</w:t>
            </w:r>
          </w:p>
        </w:tc>
        <w:tc>
          <w:tcPr>
            <w:tcW w:w="6395" w:type="dxa"/>
            <w:tcBorders>
              <w:top w:val="single" w:sz="4" w:space="0" w:color="auto"/>
              <w:left w:val="single" w:sz="4" w:space="0" w:color="auto"/>
              <w:bottom w:val="single" w:sz="4" w:space="0" w:color="auto"/>
              <w:right w:val="single" w:sz="4" w:space="0" w:color="auto"/>
            </w:tcBorders>
            <w:shd w:val="clear" w:color="auto" w:fill="C2EBFA" w:themeFill="background2"/>
            <w:hideMark/>
          </w:tcPr>
          <w:p w14:paraId="28DC2B4B"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geotechnical investigations, environmental impact assessments (e.g. flora and fauna), general quality assessments (e.g. for air, water, noise, and habitat), sustainability/program initiatives, contamination, interface controls, aerial photography and videos, staff costs, admin, and other office costs, aboriginal cultural heritage, environmental auditing</w:t>
            </w:r>
          </w:p>
        </w:tc>
      </w:tr>
      <w:tr w:rsidR="005B280E" w:rsidRPr="00314EE3" w14:paraId="4B3A9DAE" w14:textId="77777777">
        <w:trPr>
          <w:trHeight w:val="413"/>
        </w:trPr>
        <w:tc>
          <w:tcPr>
            <w:tcW w:w="2784" w:type="dxa"/>
            <w:tcBorders>
              <w:top w:val="single" w:sz="4" w:space="0" w:color="auto"/>
              <w:left w:val="single" w:sz="4" w:space="0" w:color="auto"/>
              <w:bottom w:val="single" w:sz="4" w:space="0" w:color="auto"/>
              <w:right w:val="single" w:sz="4" w:space="0" w:color="auto"/>
            </w:tcBorders>
            <w:shd w:val="clear" w:color="auto" w:fill="C2EBFA" w:themeFill="background2"/>
            <w:noWrap/>
            <w:hideMark/>
          </w:tcPr>
          <w:p w14:paraId="3C0AF956"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Project Controls</w:t>
            </w:r>
          </w:p>
        </w:tc>
        <w:tc>
          <w:tcPr>
            <w:tcW w:w="6395" w:type="dxa"/>
            <w:tcBorders>
              <w:top w:val="single" w:sz="4" w:space="0" w:color="auto"/>
              <w:left w:val="single" w:sz="4" w:space="0" w:color="auto"/>
              <w:bottom w:val="single" w:sz="4" w:space="0" w:color="auto"/>
              <w:right w:val="single" w:sz="4" w:space="0" w:color="auto"/>
            </w:tcBorders>
            <w:shd w:val="clear" w:color="auto" w:fill="C2EBFA" w:themeFill="background2"/>
            <w:hideMark/>
          </w:tcPr>
          <w:p w14:paraId="0C0C342F"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 xml:space="preserve">cost controls, interface controls, forecasting, project scheduling, organisational risk management, surveillance, and quality </w:t>
            </w:r>
          </w:p>
        </w:tc>
      </w:tr>
      <w:tr w:rsidR="005B280E" w:rsidRPr="00314EE3" w14:paraId="5D27332C" w14:textId="77777777">
        <w:trPr>
          <w:trHeight w:val="405"/>
        </w:trPr>
        <w:tc>
          <w:tcPr>
            <w:tcW w:w="2784" w:type="dxa"/>
            <w:tcBorders>
              <w:top w:val="single" w:sz="4" w:space="0" w:color="auto"/>
            </w:tcBorders>
            <w:shd w:val="clear" w:color="000000" w:fill="C2EBFA"/>
            <w:noWrap/>
            <w:hideMark/>
          </w:tcPr>
          <w:p w14:paraId="22BFF54E"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Safety, Health &amp; Human Resources (HR)</w:t>
            </w:r>
          </w:p>
        </w:tc>
        <w:tc>
          <w:tcPr>
            <w:tcW w:w="6395" w:type="dxa"/>
            <w:tcBorders>
              <w:top w:val="single" w:sz="4" w:space="0" w:color="auto"/>
            </w:tcBorders>
            <w:shd w:val="clear" w:color="000000" w:fill="C2EBFA"/>
            <w:hideMark/>
          </w:tcPr>
          <w:p w14:paraId="393263B0"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health and safety costs, safety management and compliance, resources, office assets and general HR admin</w:t>
            </w:r>
          </w:p>
        </w:tc>
      </w:tr>
      <w:tr w:rsidR="005B280E" w:rsidRPr="00314EE3" w14:paraId="379BADFA" w14:textId="77777777">
        <w:trPr>
          <w:trHeight w:val="426"/>
        </w:trPr>
        <w:tc>
          <w:tcPr>
            <w:tcW w:w="2784" w:type="dxa"/>
            <w:shd w:val="clear" w:color="000000" w:fill="C2EBFA"/>
            <w:noWrap/>
            <w:hideMark/>
          </w:tcPr>
          <w:p w14:paraId="43E30FD4" w14:textId="77777777" w:rsidR="005B280E" w:rsidRPr="00B30130" w:rsidRDefault="005B280E">
            <w:pPr>
              <w:spacing w:before="0" w:after="0" w:line="240" w:lineRule="auto"/>
              <w:rPr>
                <w:rFonts w:ascii="Arial" w:eastAsia="Times New Roman" w:hAnsi="Arial" w:cs="Arial"/>
                <w:b/>
                <w:sz w:val="16"/>
                <w:szCs w:val="16"/>
              </w:rPr>
            </w:pPr>
            <w:bookmarkStart w:id="18" w:name="RANGE!B30"/>
            <w:r w:rsidRPr="00B30130">
              <w:rPr>
                <w:rFonts w:ascii="Arial" w:eastAsia="Times New Roman" w:hAnsi="Arial" w:cs="Arial"/>
                <w:b/>
                <w:sz w:val="16"/>
                <w:szCs w:val="16"/>
                <w:lang w:val="en-GB"/>
              </w:rPr>
              <w:t>Executive Office</w:t>
            </w:r>
            <w:bookmarkEnd w:id="18"/>
          </w:p>
        </w:tc>
        <w:tc>
          <w:tcPr>
            <w:tcW w:w="6395" w:type="dxa"/>
            <w:shd w:val="clear" w:color="000000" w:fill="C2EBFA"/>
            <w:hideMark/>
          </w:tcPr>
          <w:p w14:paraId="78E3009E" w14:textId="77777777" w:rsidR="005B280E" w:rsidRPr="00B30130" w:rsidRDefault="005B280E">
            <w:pPr>
              <w:spacing w:before="0" w:after="0" w:line="240" w:lineRule="auto"/>
              <w:rPr>
                <w:rFonts w:ascii="Arial" w:eastAsia="Times New Roman" w:hAnsi="Arial" w:cs="Arial"/>
                <w:sz w:val="16"/>
                <w:szCs w:val="16"/>
              </w:rPr>
            </w:pPr>
            <w:bookmarkStart w:id="19" w:name="_Hlk168317117"/>
            <w:r w:rsidRPr="00B30130">
              <w:rPr>
                <w:rFonts w:ascii="Arial" w:eastAsia="Times New Roman" w:hAnsi="Arial" w:cs="Arial"/>
                <w:sz w:val="16"/>
                <w:szCs w:val="16"/>
                <w:lang w:val="en-GB"/>
              </w:rPr>
              <w:t>executive office/staff, executive support functions and other executive associated costs, corporate costs, ODG, contractors general, office assets</w:t>
            </w:r>
            <w:bookmarkEnd w:id="19"/>
          </w:p>
        </w:tc>
      </w:tr>
      <w:tr w:rsidR="005B280E" w:rsidRPr="00314EE3" w14:paraId="6A43809F" w14:textId="77777777">
        <w:trPr>
          <w:trHeight w:val="549"/>
        </w:trPr>
        <w:tc>
          <w:tcPr>
            <w:tcW w:w="2784" w:type="dxa"/>
            <w:shd w:val="clear" w:color="000000" w:fill="C2EBFA"/>
            <w:noWrap/>
            <w:hideMark/>
          </w:tcPr>
          <w:p w14:paraId="6A6E1DF8"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Finance</w:t>
            </w:r>
          </w:p>
        </w:tc>
        <w:tc>
          <w:tcPr>
            <w:tcW w:w="6395" w:type="dxa"/>
            <w:shd w:val="clear" w:color="000000" w:fill="C2EBFA"/>
            <w:hideMark/>
          </w:tcPr>
          <w:p w14:paraId="1D809E3E" w14:textId="77777777" w:rsidR="005B280E" w:rsidRPr="00B30130" w:rsidRDefault="005B280E">
            <w:pPr>
              <w:spacing w:before="0" w:after="0" w:line="240" w:lineRule="auto"/>
              <w:rPr>
                <w:rFonts w:ascii="Arial" w:eastAsia="Times New Roman" w:hAnsi="Arial" w:cs="Arial"/>
                <w:sz w:val="16"/>
                <w:szCs w:val="16"/>
              </w:rPr>
            </w:pPr>
            <w:bookmarkStart w:id="20" w:name="_Hlk166856670"/>
            <w:r w:rsidRPr="00B30130">
              <w:rPr>
                <w:rFonts w:ascii="Arial" w:eastAsia="Times New Roman" w:hAnsi="Arial" w:cs="Arial"/>
                <w:sz w:val="16"/>
                <w:szCs w:val="16"/>
                <w:lang w:val="en-GB"/>
              </w:rPr>
              <w:t>corporate finance, accounting, insurances, back-office staff, staff/salary costs, resources, admin and other office costs, interest expenses, financing fees, equity investment costs, corporate charges and management reserve</w:t>
            </w:r>
            <w:bookmarkEnd w:id="20"/>
          </w:p>
        </w:tc>
      </w:tr>
      <w:tr w:rsidR="005B280E" w:rsidRPr="00314EE3" w14:paraId="677DDD0E" w14:textId="77777777">
        <w:trPr>
          <w:trHeight w:val="553"/>
        </w:trPr>
        <w:tc>
          <w:tcPr>
            <w:tcW w:w="2784" w:type="dxa"/>
            <w:shd w:val="clear" w:color="000000" w:fill="C2EBFA"/>
            <w:noWrap/>
            <w:hideMark/>
          </w:tcPr>
          <w:p w14:paraId="3AAA3445"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IT</w:t>
            </w:r>
          </w:p>
        </w:tc>
        <w:tc>
          <w:tcPr>
            <w:tcW w:w="6395" w:type="dxa"/>
            <w:shd w:val="clear" w:color="000000" w:fill="C2EBFA"/>
            <w:hideMark/>
          </w:tcPr>
          <w:p w14:paraId="2EA4131C"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expenses for general technology resources e.g. hardware, cybersecurity, infrastructure and telecommunication costs, staff related costs, training and education programs, workshops etc.</w:t>
            </w:r>
          </w:p>
        </w:tc>
      </w:tr>
      <w:tr w:rsidR="005B280E" w:rsidRPr="00314EE3" w14:paraId="6A9E873F" w14:textId="77777777">
        <w:trPr>
          <w:trHeight w:val="275"/>
        </w:trPr>
        <w:tc>
          <w:tcPr>
            <w:tcW w:w="2784" w:type="dxa"/>
            <w:shd w:val="clear" w:color="000000" w:fill="C2EBFA"/>
            <w:noWrap/>
            <w:hideMark/>
          </w:tcPr>
          <w:p w14:paraId="629651A7"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Facilities &amp; Business Services</w:t>
            </w:r>
          </w:p>
        </w:tc>
        <w:tc>
          <w:tcPr>
            <w:tcW w:w="6395" w:type="dxa"/>
            <w:shd w:val="clear" w:color="000000" w:fill="C2EBFA"/>
            <w:hideMark/>
          </w:tcPr>
          <w:p w14:paraId="3BC75F44"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facilities, project office, reports and business services</w:t>
            </w:r>
          </w:p>
        </w:tc>
      </w:tr>
      <w:tr w:rsidR="005B280E" w:rsidRPr="00314EE3" w14:paraId="62614648" w14:textId="77777777">
        <w:trPr>
          <w:trHeight w:val="246"/>
        </w:trPr>
        <w:tc>
          <w:tcPr>
            <w:tcW w:w="2784" w:type="dxa"/>
            <w:shd w:val="clear" w:color="000000" w:fill="C2EBFA"/>
            <w:noWrap/>
            <w:hideMark/>
          </w:tcPr>
          <w:p w14:paraId="5EB76A08"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Unsuccessful Bid Fees</w:t>
            </w:r>
          </w:p>
        </w:tc>
        <w:tc>
          <w:tcPr>
            <w:tcW w:w="6395" w:type="dxa"/>
            <w:shd w:val="clear" w:color="000000" w:fill="C2EBFA"/>
            <w:hideMark/>
          </w:tcPr>
          <w:p w14:paraId="3D6B8F32"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program costs (within project), other unsuccessful procurement/opportunity costs</w:t>
            </w:r>
          </w:p>
        </w:tc>
      </w:tr>
      <w:tr w:rsidR="005B280E" w:rsidRPr="00314EE3" w14:paraId="52B7BDD8" w14:textId="77777777">
        <w:trPr>
          <w:trHeight w:val="388"/>
        </w:trPr>
        <w:tc>
          <w:tcPr>
            <w:tcW w:w="2784" w:type="dxa"/>
            <w:shd w:val="clear" w:color="000000" w:fill="C2EBFA"/>
            <w:noWrap/>
            <w:hideMark/>
          </w:tcPr>
          <w:p w14:paraId="48D21F2F" w14:textId="77777777" w:rsidR="005B280E" w:rsidRPr="00B30130" w:rsidRDefault="005B280E">
            <w:pPr>
              <w:spacing w:before="0" w:after="0" w:line="240" w:lineRule="auto"/>
              <w:rPr>
                <w:rFonts w:ascii="Arial" w:eastAsia="Times New Roman" w:hAnsi="Arial" w:cs="Arial"/>
                <w:b/>
                <w:sz w:val="16"/>
                <w:szCs w:val="16"/>
              </w:rPr>
            </w:pPr>
            <w:r w:rsidRPr="00B30130">
              <w:rPr>
                <w:rFonts w:ascii="Arial" w:eastAsia="Times New Roman" w:hAnsi="Arial" w:cs="Arial"/>
                <w:b/>
                <w:sz w:val="16"/>
                <w:szCs w:val="16"/>
                <w:lang w:val="en-GB"/>
              </w:rPr>
              <w:t>Other</w:t>
            </w:r>
          </w:p>
        </w:tc>
        <w:tc>
          <w:tcPr>
            <w:tcW w:w="6395" w:type="dxa"/>
            <w:shd w:val="clear" w:color="000000" w:fill="C2EBFA"/>
            <w:hideMark/>
          </w:tcPr>
          <w:p w14:paraId="40031E8C" w14:textId="77777777" w:rsidR="005B280E" w:rsidRPr="00B30130" w:rsidRDefault="005B280E">
            <w:pPr>
              <w:spacing w:before="0" w:after="0" w:line="240" w:lineRule="auto"/>
              <w:rPr>
                <w:rFonts w:ascii="Arial" w:eastAsia="Times New Roman" w:hAnsi="Arial" w:cs="Arial"/>
                <w:sz w:val="16"/>
                <w:szCs w:val="16"/>
              </w:rPr>
            </w:pPr>
            <w:r w:rsidRPr="00B30130">
              <w:rPr>
                <w:rFonts w:ascii="Arial" w:eastAsia="Times New Roman" w:hAnsi="Arial" w:cs="Arial"/>
                <w:sz w:val="16"/>
                <w:szCs w:val="16"/>
                <w:lang w:val="en-GB"/>
              </w:rPr>
              <w:t>miscellaneous/general costs, post completion (e.g. suppliers/contractors associated with managing post completion/defects activities), graduate program</w:t>
            </w:r>
          </w:p>
        </w:tc>
      </w:tr>
      <w:bookmarkEnd w:id="11"/>
    </w:tbl>
    <w:p w14:paraId="1E4D38B4" w14:textId="77777777" w:rsidR="00AC6404" w:rsidRDefault="00AC6404" w:rsidP="005B280E">
      <w:pPr>
        <w:rPr>
          <w:color w:val="auto"/>
        </w:rPr>
      </w:pPr>
    </w:p>
    <w:p w14:paraId="5310724E" w14:textId="7C27CF6B" w:rsidR="00933EF1" w:rsidRDefault="00440869" w:rsidP="00440869">
      <w:pPr>
        <w:pStyle w:val="Heading1numbered"/>
      </w:pPr>
      <w:r>
        <w:t>Other guidance</w:t>
      </w:r>
    </w:p>
    <w:p w14:paraId="6EB5317A" w14:textId="7198A81F" w:rsidR="00440869" w:rsidRDefault="00440869" w:rsidP="00440869">
      <w:pPr>
        <w:rPr>
          <w:rFonts w:asciiTheme="majorHAnsi" w:eastAsiaTheme="majorEastAsia" w:hAnsiTheme="majorHAnsi" w:cstheme="majorBidi"/>
          <w:b/>
          <w:bCs/>
          <w:color w:val="3A3467" w:themeColor="text2"/>
          <w:sz w:val="24"/>
          <w:szCs w:val="24"/>
        </w:rPr>
      </w:pPr>
      <w:r w:rsidRPr="00440869">
        <w:rPr>
          <w:rFonts w:asciiTheme="majorHAnsi" w:eastAsiaTheme="majorEastAsia" w:hAnsiTheme="majorHAnsi" w:cstheme="majorBidi"/>
          <w:b/>
          <w:bCs/>
          <w:color w:val="3A3467" w:themeColor="text2"/>
          <w:sz w:val="24"/>
          <w:szCs w:val="24"/>
        </w:rPr>
        <w:t>Changing people’s behaviour</w:t>
      </w:r>
    </w:p>
    <w:p w14:paraId="1D43AFC1" w14:textId="7A9E0D06" w:rsidR="006A26DF" w:rsidRDefault="00440869" w:rsidP="00440869">
      <w:r>
        <w:t xml:space="preserve">The </w:t>
      </w:r>
      <w:r w:rsidR="003D193E">
        <w:t xml:space="preserve">DPC </w:t>
      </w:r>
      <w:r>
        <w:t xml:space="preserve">Behavioural Insights Unit </w:t>
      </w:r>
      <w:r w:rsidR="004B3818">
        <w:t>(BIU)</w:t>
      </w:r>
      <w:r>
        <w:t xml:space="preserve"> should be engaged on </w:t>
      </w:r>
      <w:r w:rsidR="00F37E92">
        <w:t>submissions</w:t>
      </w:r>
      <w:r>
        <w:t xml:space="preserve"> that </w:t>
      </w:r>
      <w:r w:rsidR="00F031C2">
        <w:t xml:space="preserve">will require </w:t>
      </w:r>
      <w:r w:rsidR="00B309CC">
        <w:t>behaviour change for the in</w:t>
      </w:r>
      <w:r w:rsidR="004A36AC">
        <w:t xml:space="preserve">itiative </w:t>
      </w:r>
      <w:r>
        <w:t>to be successful</w:t>
      </w:r>
      <w:r w:rsidR="00CF5C6B">
        <w:t>.</w:t>
      </w:r>
      <w:r w:rsidR="00B136D0">
        <w:t xml:space="preserve"> </w:t>
      </w:r>
      <w:r w:rsidR="000F6C40">
        <w:t>E</w:t>
      </w:r>
      <w:r>
        <w:t>xample</w:t>
      </w:r>
      <w:r w:rsidR="000F6C40">
        <w:t xml:space="preserve">s of behaviour include </w:t>
      </w:r>
      <w:r w:rsidR="005A08B6">
        <w:t>take up of programs</w:t>
      </w:r>
      <w:r w:rsidR="00276874">
        <w:t>,</w:t>
      </w:r>
      <w:r w:rsidR="0076530A">
        <w:t xml:space="preserve"> grants or licenses, timely payments, reduction in program behaviours, attraction</w:t>
      </w:r>
      <w:r w:rsidR="00F534BF">
        <w:t xml:space="preserve"> and recruitment to public sector jobs</w:t>
      </w:r>
      <w:r w:rsidR="006A26DF">
        <w:t xml:space="preserve">, and attendance at services such as hospitals, courts or tourism activities. </w:t>
      </w:r>
    </w:p>
    <w:p w14:paraId="2434A911" w14:textId="7437A467" w:rsidR="009D4593" w:rsidRDefault="00BE7727" w:rsidP="00440869">
      <w:r>
        <w:t>The BIU can provide advice on initiative, service or communications design, and/or</w:t>
      </w:r>
      <w:r w:rsidR="008B03CF">
        <w:t xml:space="preserve"> program effectiveness evaluation methods</w:t>
      </w:r>
      <w:r w:rsidR="009D4593">
        <w:t>.</w:t>
      </w:r>
    </w:p>
    <w:p w14:paraId="53763D70" w14:textId="04A9BEB0" w:rsidR="00440869" w:rsidRDefault="003830ED" w:rsidP="00440869">
      <w:r>
        <w:t xml:space="preserve">Please contact </w:t>
      </w:r>
      <w:hyperlink r:id="rId21" w:history="1">
        <w:r w:rsidR="002C658A" w:rsidRPr="00293D2E">
          <w:rPr>
            <w:rStyle w:val="Hyperlink"/>
          </w:rPr>
          <w:t>behavioural.insights@dpc.vic.gov.au</w:t>
        </w:r>
      </w:hyperlink>
      <w:r w:rsidR="002C658A">
        <w:t xml:space="preserve"> for more information</w:t>
      </w:r>
      <w:r>
        <w:t>.</w:t>
      </w:r>
    </w:p>
    <w:p w14:paraId="2A914E54" w14:textId="77777777" w:rsidR="009561D2" w:rsidRDefault="009561D2" w:rsidP="00A6275B">
      <w:pPr>
        <w:rPr>
          <w:rFonts w:asciiTheme="majorHAnsi" w:eastAsiaTheme="majorEastAsia" w:hAnsiTheme="majorHAnsi" w:cstheme="majorBidi"/>
          <w:b/>
          <w:bCs/>
          <w:color w:val="3A3467" w:themeColor="text2"/>
          <w:sz w:val="24"/>
          <w:szCs w:val="24"/>
        </w:rPr>
      </w:pPr>
    </w:p>
    <w:p w14:paraId="06639295" w14:textId="1DFDBEE6" w:rsidR="00A6275B" w:rsidRDefault="00A6275B" w:rsidP="00A6275B">
      <w:pPr>
        <w:rPr>
          <w:rFonts w:asciiTheme="majorHAnsi" w:eastAsiaTheme="majorEastAsia" w:hAnsiTheme="majorHAnsi" w:cstheme="majorBidi"/>
          <w:b/>
          <w:bCs/>
          <w:color w:val="3A3467" w:themeColor="text2"/>
          <w:sz w:val="24"/>
          <w:szCs w:val="24"/>
        </w:rPr>
      </w:pPr>
      <w:r>
        <w:rPr>
          <w:rFonts w:asciiTheme="majorHAnsi" w:eastAsiaTheme="majorEastAsia" w:hAnsiTheme="majorHAnsi" w:cstheme="majorBidi"/>
          <w:b/>
          <w:bCs/>
          <w:color w:val="3A3467" w:themeColor="text2"/>
          <w:sz w:val="24"/>
          <w:szCs w:val="24"/>
        </w:rPr>
        <w:t>Infrastructure procurement (assets only)</w:t>
      </w:r>
    </w:p>
    <w:p w14:paraId="34FB1F8B" w14:textId="77777777" w:rsidR="00A6275B" w:rsidRDefault="00A6275B" w:rsidP="00A6275B">
      <w:pPr>
        <w:rPr>
          <w:b/>
        </w:rPr>
      </w:pPr>
      <w:r w:rsidRPr="005B7426">
        <w:t xml:space="preserve">For major </w:t>
      </w:r>
      <w:r>
        <w:t xml:space="preserve">capital investments, Departments are required to incorporate a procurement strategy into a business case as selection of the right procurement approach </w:t>
      </w:r>
      <w:r w:rsidRPr="005B7426">
        <w:t>can be a powerful driver of project success.</w:t>
      </w:r>
      <w:r>
        <w:rPr>
          <w:b/>
          <w:bCs/>
        </w:rPr>
        <w:t xml:space="preserve"> </w:t>
      </w:r>
    </w:p>
    <w:p w14:paraId="726821AC" w14:textId="0B40F4B9" w:rsidR="000933A5" w:rsidRPr="00D827B6" w:rsidRDefault="000933A5" w:rsidP="00A6275B">
      <w:pPr>
        <w:rPr>
          <w:rFonts w:ascii="Arial" w:eastAsia="Arial" w:hAnsi="Arial" w:cs="Arial"/>
        </w:rPr>
      </w:pPr>
      <w:r w:rsidRPr="00F71B58">
        <w:rPr>
          <w:rFonts w:ascii="Arial" w:eastAsia="Arial" w:hAnsi="Arial" w:cs="Arial"/>
        </w:rPr>
        <w:t xml:space="preserve">The procurement strategy should reflect best practice expectations on the procurement strategy development process as outlined in the updated </w:t>
      </w:r>
      <w:r w:rsidRPr="00B30130">
        <w:rPr>
          <w:rFonts w:ascii="Arial" w:eastAsia="Arial" w:hAnsi="Arial" w:cs="Arial"/>
          <w:i/>
          <w:iCs/>
        </w:rPr>
        <w:t>Procurement - Investment Lifecycle and High Value High Risk Guidelines Part 2: Developing the procurement strategy</w:t>
      </w:r>
      <w:r>
        <w:rPr>
          <w:rFonts w:ascii="Arial" w:eastAsia="Arial" w:hAnsi="Arial" w:cs="Arial"/>
        </w:rPr>
        <w:t xml:space="preserve"> </w:t>
      </w:r>
      <w:r>
        <w:t xml:space="preserve">which can be found at:  </w:t>
      </w:r>
      <w:hyperlink r:id="rId22" w:history="1">
        <w:r w:rsidRPr="007674CE">
          <w:rPr>
            <w:rStyle w:val="Hyperlink"/>
          </w:rPr>
          <w:t>https://www.dtf.vic.gov.au/investment-lifecycle-and-high-value-high-risk-guidelines/procurement</w:t>
        </w:r>
      </w:hyperlink>
      <w:r w:rsidRPr="6FA5F108">
        <w:rPr>
          <w:rFonts w:ascii="Arial" w:eastAsia="Arial" w:hAnsi="Arial" w:cs="Arial"/>
        </w:rPr>
        <w:t>.</w:t>
      </w:r>
    </w:p>
    <w:p w14:paraId="699DB94D" w14:textId="26CB148A" w:rsidR="00F864C7" w:rsidRDefault="00A6275B" w:rsidP="00A6275B">
      <w:pPr>
        <w:rPr>
          <w:i/>
          <w:iCs/>
        </w:rPr>
      </w:pPr>
      <w:r>
        <w:t xml:space="preserve">The </w:t>
      </w:r>
      <w:r w:rsidRPr="005B7426">
        <w:rPr>
          <w:i/>
          <w:iCs/>
        </w:rPr>
        <w:t xml:space="preserve">Procurement </w:t>
      </w:r>
      <w:r w:rsidR="000933A5">
        <w:rPr>
          <w:i/>
          <w:iCs/>
        </w:rPr>
        <w:t>-</w:t>
      </w:r>
      <w:r w:rsidRPr="005B7426">
        <w:rPr>
          <w:i/>
          <w:iCs/>
        </w:rPr>
        <w:t xml:space="preserve"> Investment Lifecycle </w:t>
      </w:r>
      <w:r w:rsidR="00F864C7">
        <w:rPr>
          <w:i/>
          <w:iCs/>
        </w:rPr>
        <w:t>and High Value High Risk</w:t>
      </w:r>
      <w:r w:rsidRPr="005B7426">
        <w:rPr>
          <w:i/>
          <w:iCs/>
        </w:rPr>
        <w:t xml:space="preserve"> Guideline</w:t>
      </w:r>
      <w:r w:rsidR="00F864C7">
        <w:rPr>
          <w:i/>
          <w:iCs/>
        </w:rPr>
        <w:t>:</w:t>
      </w:r>
    </w:p>
    <w:p w14:paraId="708BDB67" w14:textId="280149E2" w:rsidR="000E0F0A" w:rsidRDefault="00A6275B" w:rsidP="00F864C7">
      <w:pPr>
        <w:pStyle w:val="ListParagraph"/>
        <w:numPr>
          <w:ilvl w:val="0"/>
          <w:numId w:val="34"/>
        </w:numPr>
      </w:pPr>
      <w:r>
        <w:t xml:space="preserve">contains best practice guidance on how to select </w:t>
      </w:r>
      <w:r w:rsidR="00777E89">
        <w:t xml:space="preserve">a preferred </w:t>
      </w:r>
      <w:r>
        <w:t>procurement model and project structuring, bundling and packaging approach when preparing a business case</w:t>
      </w:r>
      <w:r w:rsidR="000E0F0A">
        <w:t>; and</w:t>
      </w:r>
    </w:p>
    <w:p w14:paraId="13C2BE3D" w14:textId="31B7C63A" w:rsidR="00A6275B" w:rsidRDefault="00825196" w:rsidP="001E3ED2">
      <w:pPr>
        <w:pStyle w:val="ListParagraph"/>
        <w:numPr>
          <w:ilvl w:val="0"/>
          <w:numId w:val="35"/>
        </w:numPr>
      </w:pPr>
      <w:r>
        <w:t>explains the types of procurement models approved for use by Victorian Government agencies and outlines available policy guidance and contracts that support each model.</w:t>
      </w:r>
    </w:p>
    <w:p w14:paraId="3108F158" w14:textId="77777777" w:rsidR="00A6275B" w:rsidRPr="005B7426" w:rsidRDefault="00A6275B" w:rsidP="00A6275B">
      <w:pPr>
        <w:rPr>
          <w:rFonts w:ascii="Tahoma" w:hAnsi="Tahoma" w:cs="Tahoma"/>
        </w:rPr>
      </w:pPr>
      <w:r>
        <w:t xml:space="preserve">For more information please </w:t>
      </w:r>
      <w:proofErr w:type="spellStart"/>
      <w:r>
        <w:t>contract</w:t>
      </w:r>
      <w:proofErr w:type="spellEnd"/>
      <w:r>
        <w:t xml:space="preserve">: </w:t>
      </w:r>
      <w:hyperlink r:id="rId23" w:history="1">
        <w:r w:rsidRPr="0027617D">
          <w:rPr>
            <w:rStyle w:val="Hyperlink"/>
            <w:rFonts w:ascii="Tahoma" w:hAnsi="Tahoma" w:cs="Tahoma"/>
          </w:rPr>
          <w:t>infrastructure.delivery@dtf.vic.gov.au</w:t>
        </w:r>
      </w:hyperlink>
      <w:r>
        <w:rPr>
          <w:rFonts w:ascii="Tahoma" w:hAnsi="Tahoma" w:cs="Tahoma"/>
        </w:rPr>
        <w:t xml:space="preserve">. </w:t>
      </w:r>
    </w:p>
    <w:p w14:paraId="3CEE7569" w14:textId="77777777" w:rsidR="009561D2" w:rsidRDefault="009561D2" w:rsidP="00440869">
      <w:pPr>
        <w:rPr>
          <w:rFonts w:asciiTheme="majorHAnsi" w:eastAsiaTheme="majorEastAsia" w:hAnsiTheme="majorHAnsi" w:cstheme="majorBidi"/>
          <w:b/>
          <w:bCs/>
          <w:color w:val="3A3467" w:themeColor="text2"/>
          <w:sz w:val="24"/>
          <w:szCs w:val="24"/>
        </w:rPr>
      </w:pPr>
    </w:p>
    <w:p w14:paraId="03E20D30" w14:textId="02D1FE40" w:rsidR="00440869" w:rsidRDefault="00440869" w:rsidP="00440869">
      <w:r w:rsidRPr="00440869">
        <w:rPr>
          <w:rFonts w:asciiTheme="majorHAnsi" w:eastAsiaTheme="majorEastAsia" w:hAnsiTheme="majorHAnsi" w:cstheme="majorBidi"/>
          <w:b/>
          <w:bCs/>
          <w:color w:val="3A3467" w:themeColor="text2"/>
          <w:sz w:val="24"/>
          <w:szCs w:val="24"/>
        </w:rPr>
        <w:t>Digital</w:t>
      </w:r>
      <w:r>
        <w:rPr>
          <w:rFonts w:asciiTheme="majorHAnsi" w:eastAsiaTheme="majorEastAsia" w:hAnsiTheme="majorHAnsi" w:cstheme="majorBidi"/>
          <w:b/>
          <w:bCs/>
          <w:color w:val="3A3467" w:themeColor="text2"/>
          <w:sz w:val="24"/>
          <w:szCs w:val="24"/>
        </w:rPr>
        <w:t xml:space="preserve"> strategy</w:t>
      </w:r>
      <w:r>
        <w:t xml:space="preserve"> </w:t>
      </w:r>
    </w:p>
    <w:p w14:paraId="6632F801" w14:textId="7E29AC1F" w:rsidR="002C658A" w:rsidRDefault="00440869" w:rsidP="00440869">
      <w:r>
        <w:t xml:space="preserve">Digital Victoria drives digital transformation across government, making it easier for business, communities and citizens to connect with government. </w:t>
      </w:r>
      <w:r w:rsidR="00F37E92">
        <w:t>Submissions</w:t>
      </w:r>
      <w:r>
        <w:t xml:space="preserve"> that relate to digital strategy (including digital identity), transformation, design and innovation, cyber security, data insights and shared government services should make contact when developing related bids. </w:t>
      </w:r>
    </w:p>
    <w:p w14:paraId="72D88034" w14:textId="0CEE235A" w:rsidR="00440869" w:rsidRDefault="00440869" w:rsidP="00440869">
      <w:r>
        <w:t>See www.vic.gov.au/digital-strategy-transformation or contact</w:t>
      </w:r>
      <w:r w:rsidR="003F01F6">
        <w:t xml:space="preserve"> </w:t>
      </w:r>
      <w:r w:rsidR="00A370BD">
        <w:t>John Clayton</w:t>
      </w:r>
      <w:r w:rsidR="003F01F6">
        <w:t xml:space="preserve"> at</w:t>
      </w:r>
      <w:r w:rsidR="003F01F6" w:rsidDel="00F51B76">
        <w:t xml:space="preserve"> </w:t>
      </w:r>
      <w:r w:rsidR="00F51B76">
        <w:t xml:space="preserve">Department of Government Services </w:t>
      </w:r>
      <w:r w:rsidR="003F01F6">
        <w:t>for more information</w:t>
      </w:r>
      <w:r w:rsidR="003830ED">
        <w:t>.</w:t>
      </w:r>
    </w:p>
    <w:p w14:paraId="443D1628" w14:textId="03353384" w:rsidR="002F4074" w:rsidRPr="00656D2C" w:rsidRDefault="002F4074" w:rsidP="002F4074">
      <w:pPr>
        <w:spacing w:before="240"/>
        <w:rPr>
          <w:rFonts w:asciiTheme="majorHAnsi" w:eastAsiaTheme="majorEastAsia" w:hAnsiTheme="majorHAnsi" w:cstheme="majorBidi"/>
          <w:b/>
          <w:bCs/>
          <w:color w:val="3A3467" w:themeColor="text2"/>
          <w:sz w:val="24"/>
          <w:szCs w:val="24"/>
        </w:rPr>
      </w:pPr>
      <w:bookmarkStart w:id="21" w:name="_Hlk115440218"/>
      <w:r w:rsidRPr="7E22A425">
        <w:rPr>
          <w:rFonts w:asciiTheme="majorHAnsi" w:eastAsiaTheme="majorEastAsia" w:hAnsiTheme="majorHAnsi" w:cstheme="majorBidi"/>
          <w:b/>
          <w:bCs/>
          <w:color w:val="3A3467" w:themeColor="text2"/>
          <w:sz w:val="24"/>
          <w:szCs w:val="24"/>
        </w:rPr>
        <w:t>Land acquisition and surplus land identification (asset only)</w:t>
      </w:r>
    </w:p>
    <w:p w14:paraId="7687E67A" w14:textId="77777777" w:rsidR="007512AB" w:rsidRPr="00656D2C" w:rsidRDefault="007512AB" w:rsidP="007512AB">
      <w:pPr>
        <w:rPr>
          <w:rFonts w:cstheme="minorHAnsi"/>
          <w:color w:val="000000"/>
        </w:rPr>
      </w:pPr>
      <w:r w:rsidRPr="00656D2C">
        <w:rPr>
          <w:rFonts w:cstheme="minorHAnsi"/>
          <w:color w:val="000000"/>
        </w:rPr>
        <w:t xml:space="preserve">As a key enabler of infrastructure projects, early land identification and assessment is important facilitate timely delivery. The business case requires sufficient detail of land purchase needs and an assessment of the risks, requirements, and timelines to achieve them. </w:t>
      </w:r>
    </w:p>
    <w:p w14:paraId="56A1D061" w14:textId="77777777" w:rsidR="00CD09F8" w:rsidRPr="00682215" w:rsidRDefault="007512AB" w:rsidP="007512AB">
      <w:pPr>
        <w:rPr>
          <w:rFonts w:cstheme="minorHAnsi"/>
          <w:color w:val="000000"/>
        </w:rPr>
      </w:pPr>
      <w:r w:rsidRPr="00656D2C">
        <w:rPr>
          <w:rFonts w:cstheme="minorHAnsi"/>
          <w:color w:val="000000"/>
        </w:rPr>
        <w:t>The business case also needs to i</w:t>
      </w:r>
      <w:r w:rsidR="00CD09F8" w:rsidRPr="00656D2C">
        <w:rPr>
          <w:rFonts w:cstheme="minorHAnsi"/>
          <w:color w:val="000000"/>
        </w:rPr>
        <w:t>nclude details of each property that is expected to become surplus if the initiative is approved. For example, funding is provided to build a new school, which results in an existing school being closed two years later. In cases such as this, the Victorian Government Landholding Policy and Guidelines requires the existing site</w:t>
      </w:r>
      <w:r w:rsidR="002F4074" w:rsidRPr="00656D2C">
        <w:rPr>
          <w:rFonts w:cstheme="minorHAnsi"/>
          <w:color w:val="000000"/>
        </w:rPr>
        <w:t>(s) to be declared surplus to facilitate its timely sale.</w:t>
      </w:r>
      <w:r w:rsidR="002F4074">
        <w:rPr>
          <w:rFonts w:cstheme="minorHAnsi"/>
          <w:color w:val="000000"/>
        </w:rPr>
        <w:t xml:space="preserve">  The sale price of a property should be based on book value, valuation or an estimate of value provided by the Valuer-General Victoria</w:t>
      </w:r>
      <w:r w:rsidR="00CD09F8" w:rsidRPr="00682215">
        <w:rPr>
          <w:rFonts w:cstheme="minorHAnsi"/>
          <w:color w:val="000000"/>
        </w:rPr>
        <w:t>.</w:t>
      </w:r>
    </w:p>
    <w:bookmarkEnd w:id="21"/>
    <w:p w14:paraId="18C3EF09" w14:textId="77777777" w:rsidR="002F4074" w:rsidRDefault="002F4074" w:rsidP="002F4074">
      <w:r>
        <w:t>Land acquisition:</w:t>
      </w:r>
    </w:p>
    <w:p w14:paraId="2FB5DEEC" w14:textId="3B431DE4" w:rsidR="002F4074" w:rsidRDefault="002F4074" w:rsidP="002F4074">
      <w:pPr>
        <w:pStyle w:val="ListParagraph"/>
        <w:numPr>
          <w:ilvl w:val="0"/>
          <w:numId w:val="22"/>
        </w:numPr>
      </w:pPr>
      <w:r>
        <w:t>Provide details of the land needs (e.g. location, size)</w:t>
      </w:r>
      <w:r w:rsidR="00E34BB1">
        <w:t>.</w:t>
      </w:r>
    </w:p>
    <w:p w14:paraId="6F35D57B" w14:textId="486FE335" w:rsidR="002F4074" w:rsidRDefault="002F4074" w:rsidP="002F4074">
      <w:pPr>
        <w:pStyle w:val="ListParagraph"/>
        <w:numPr>
          <w:ilvl w:val="0"/>
          <w:numId w:val="22"/>
        </w:numPr>
      </w:pPr>
      <w:r>
        <w:t>Provide details of the land acquisition strategy, including whether suitable land has already been identified, estimated timelines and processes to acquire and take possession of the land, who will undertake the acquisition, identified risks and mitigation actions</w:t>
      </w:r>
      <w:r w:rsidR="00E34BB1">
        <w:t>.</w:t>
      </w:r>
      <w:r>
        <w:t xml:space="preserve"> </w:t>
      </w:r>
    </w:p>
    <w:p w14:paraId="7F4BB00A" w14:textId="6641DFCD" w:rsidR="002F4074" w:rsidRDefault="002F4074" w:rsidP="002F4074">
      <w:pPr>
        <w:pStyle w:val="ListParagraph"/>
        <w:numPr>
          <w:ilvl w:val="0"/>
          <w:numId w:val="22"/>
        </w:numPr>
      </w:pPr>
      <w:r>
        <w:t>The Department should consult with DTP Land and Property in developing the Land Acquisition Strategy</w:t>
      </w:r>
      <w:r w:rsidR="00E34BB1">
        <w:t>.</w:t>
      </w:r>
    </w:p>
    <w:p w14:paraId="15AD6041" w14:textId="77777777" w:rsidR="002F4074" w:rsidRDefault="002F4074" w:rsidP="002F4074">
      <w:r>
        <w:t>Surplus Land identification:</w:t>
      </w:r>
    </w:p>
    <w:p w14:paraId="37525164" w14:textId="45441DB9" w:rsidR="002F4074" w:rsidRDefault="002F4074" w:rsidP="002F4074">
      <w:pPr>
        <w:pStyle w:val="ListParagraph"/>
        <w:numPr>
          <w:ilvl w:val="0"/>
          <w:numId w:val="22"/>
        </w:numPr>
      </w:pPr>
      <w:r>
        <w:t>Include the address, value and estimated year of sale of each property that is expected to become surplus if the initiative is approved in Table 12 below</w:t>
      </w:r>
      <w:r w:rsidR="00E34BB1">
        <w:t>.</w:t>
      </w:r>
      <w:r>
        <w:t xml:space="preserve"> </w:t>
      </w:r>
    </w:p>
    <w:p w14:paraId="6C093082" w14:textId="77777777" w:rsidR="002F4074" w:rsidRDefault="002F4074" w:rsidP="002F4074">
      <w:pPr>
        <w:pStyle w:val="ListParagraph"/>
        <w:numPr>
          <w:ilvl w:val="0"/>
          <w:numId w:val="22"/>
        </w:numPr>
      </w:pPr>
      <w:r>
        <w:t xml:space="preserve">Ensure these figures are also included in Table 13 in section 9.2 under “Offsets from other </w:t>
      </w:r>
      <w:proofErr w:type="gramStart"/>
      <w:r>
        <w:t>sources“</w:t>
      </w:r>
      <w:proofErr w:type="gramEnd"/>
      <w:r>
        <w:t xml:space="preserve">. </w:t>
      </w:r>
    </w:p>
    <w:p w14:paraId="3796DA7F" w14:textId="77777777" w:rsidR="002F4074" w:rsidRDefault="002F4074" w:rsidP="002F4074">
      <w:pPr>
        <w:pStyle w:val="ListParagraph"/>
        <w:numPr>
          <w:ilvl w:val="0"/>
          <w:numId w:val="22"/>
        </w:numPr>
      </w:pPr>
      <w:r>
        <w:t>The Department should consult with DTP Land and Property to confirm these details.</w:t>
      </w:r>
    </w:p>
    <w:p w14:paraId="2764DD2D" w14:textId="77777777" w:rsidR="00CD09F8" w:rsidRPr="00440869" w:rsidRDefault="00CD09F8" w:rsidP="00440869"/>
    <w:p w14:paraId="365C1629" w14:textId="03BE45C8" w:rsidR="38A766C2" w:rsidRPr="00656D2C" w:rsidRDefault="38A766C2">
      <w:pPr>
        <w:rPr>
          <w:rFonts w:ascii="Arial" w:eastAsia="Arial" w:hAnsi="Arial" w:cs="Arial"/>
          <w:b/>
          <w:color w:val="auto"/>
          <w:sz w:val="28"/>
          <w:szCs w:val="28"/>
        </w:rPr>
      </w:pPr>
      <w:r w:rsidRPr="00656D2C">
        <w:rPr>
          <w:rFonts w:ascii="Arial" w:eastAsia="Arial" w:hAnsi="Arial" w:cs="Arial"/>
          <w:b/>
          <w:color w:val="auto"/>
          <w:sz w:val="28"/>
          <w:szCs w:val="28"/>
        </w:rPr>
        <w:t>Capital project escalation rates model (asset only)</w:t>
      </w:r>
    </w:p>
    <w:p w14:paraId="287DC8B9" w14:textId="03BE45C8" w:rsidR="38A766C2" w:rsidRPr="00656D2C" w:rsidRDefault="38A766C2" w:rsidP="1183C83A">
      <w:pPr>
        <w:rPr>
          <w:rFonts w:ascii="Arial" w:eastAsia="Arial" w:hAnsi="Arial" w:cs="Arial"/>
          <w:color w:val="auto"/>
        </w:rPr>
      </w:pPr>
      <w:r w:rsidRPr="00656D2C">
        <w:rPr>
          <w:rFonts w:ascii="Arial" w:eastAsia="Arial" w:hAnsi="Arial" w:cs="Arial"/>
          <w:color w:val="auto"/>
        </w:rPr>
        <w:t xml:space="preserve">Additional guidance on escalation rate forecasts is available for the development of new infrastructure project business cases and costings. </w:t>
      </w:r>
    </w:p>
    <w:p w14:paraId="4E89BC2D" w14:textId="75B8EDDE" w:rsidR="005321AA" w:rsidRDefault="38A766C2" w:rsidP="005321AA">
      <w:pPr>
        <w:rPr>
          <w:rFonts w:ascii="Arial" w:eastAsia="Arial" w:hAnsi="Arial" w:cs="Arial"/>
          <w:color w:val="auto"/>
        </w:rPr>
      </w:pPr>
      <w:r w:rsidRPr="00656D2C">
        <w:rPr>
          <w:rFonts w:ascii="Arial" w:eastAsia="Arial" w:hAnsi="Arial" w:cs="Arial"/>
          <w:color w:val="auto"/>
        </w:rPr>
        <w:t>Project type specific escalation rates are available for all forms of transport projects, as well as justice, culture sport and communities, social housing, hospitals, schools and energy and renewables.</w:t>
      </w:r>
      <w:r w:rsidR="005321AA" w:rsidRPr="005321AA">
        <w:rPr>
          <w:rFonts w:ascii="Arial" w:eastAsia="Arial" w:hAnsi="Arial" w:cs="Arial"/>
          <w:color w:val="auto"/>
        </w:rPr>
        <w:t xml:space="preserve"> </w:t>
      </w:r>
      <w:r w:rsidR="005321AA">
        <w:rPr>
          <w:rFonts w:ascii="Arial" w:eastAsia="Arial" w:hAnsi="Arial" w:cs="Arial"/>
          <w:color w:val="auto"/>
        </w:rPr>
        <w:t xml:space="preserve">(See Attachment I - </w:t>
      </w:r>
      <w:r w:rsidR="005321AA" w:rsidRPr="00B7544B">
        <w:rPr>
          <w:rFonts w:ascii="Arial" w:eastAsia="Arial" w:hAnsi="Arial" w:cs="Arial"/>
          <w:color w:val="auto"/>
        </w:rPr>
        <w:t>Infrastructure Escalation Budget Template 2025-26)</w:t>
      </w:r>
      <w:r w:rsidR="005321AA" w:rsidRPr="00656D2C">
        <w:rPr>
          <w:rFonts w:ascii="Arial" w:eastAsia="Arial" w:hAnsi="Arial" w:cs="Arial"/>
          <w:color w:val="auto"/>
        </w:rPr>
        <w:t>.</w:t>
      </w:r>
    </w:p>
    <w:p w14:paraId="59E7FEE1" w14:textId="1504D701" w:rsidR="38A766C2" w:rsidRDefault="38A766C2">
      <w:pPr>
        <w:rPr>
          <w:rFonts w:ascii="Arial" w:eastAsia="Arial" w:hAnsi="Arial" w:cs="Arial"/>
          <w:color w:val="auto"/>
        </w:rPr>
      </w:pPr>
    </w:p>
    <w:p w14:paraId="7ADD40E3" w14:textId="478584CE" w:rsidR="58FB87D0" w:rsidRPr="00656D2C" w:rsidRDefault="58FB87D0" w:rsidP="6A186D5F">
      <w:pPr>
        <w:rPr>
          <w:rFonts w:ascii="Arial" w:eastAsia="Arial" w:hAnsi="Arial" w:cs="Arial"/>
          <w:color w:val="auto"/>
        </w:rPr>
      </w:pPr>
      <w:r w:rsidRPr="33E3312F">
        <w:rPr>
          <w:rFonts w:ascii="Arial" w:eastAsia="Arial" w:hAnsi="Arial" w:cs="Arial"/>
          <w:color w:val="auto"/>
        </w:rPr>
        <w:t xml:space="preserve">The latest version of the forecasts </w:t>
      </w:r>
      <w:proofErr w:type="gramStart"/>
      <w:r w:rsidRPr="33E3312F">
        <w:rPr>
          <w:rFonts w:ascii="Arial" w:eastAsia="Arial" w:hAnsi="Arial" w:cs="Arial"/>
          <w:color w:val="auto"/>
        </w:rPr>
        <w:t>are</w:t>
      </w:r>
      <w:proofErr w:type="gramEnd"/>
      <w:r w:rsidRPr="33E3312F">
        <w:rPr>
          <w:rFonts w:ascii="Arial" w:eastAsia="Arial" w:hAnsi="Arial" w:cs="Arial"/>
          <w:color w:val="auto"/>
        </w:rPr>
        <w:t xml:space="preserve"> based on the </w:t>
      </w:r>
      <w:r w:rsidR="005321AA">
        <w:rPr>
          <w:rFonts w:ascii="Arial" w:eastAsia="Arial" w:hAnsi="Arial" w:cs="Arial"/>
          <w:color w:val="auto"/>
        </w:rPr>
        <w:t>June 202</w:t>
      </w:r>
      <w:r w:rsidR="00F368B1">
        <w:rPr>
          <w:rFonts w:ascii="Arial" w:eastAsia="Arial" w:hAnsi="Arial" w:cs="Arial"/>
          <w:color w:val="auto"/>
        </w:rPr>
        <w:t xml:space="preserve">4 </w:t>
      </w:r>
      <w:r w:rsidRPr="33E3312F">
        <w:rPr>
          <w:rFonts w:ascii="Arial" w:eastAsia="Arial" w:hAnsi="Arial" w:cs="Arial"/>
          <w:color w:val="auto"/>
        </w:rPr>
        <w:t>Producer Price Indices</w:t>
      </w:r>
      <w:r w:rsidR="00F368B1">
        <w:rPr>
          <w:rFonts w:ascii="Arial" w:eastAsia="Arial" w:hAnsi="Arial" w:cs="Arial"/>
          <w:color w:val="auto"/>
        </w:rPr>
        <w:t xml:space="preserve">. </w:t>
      </w:r>
      <w:r w:rsidRPr="6E7E7C9D">
        <w:rPr>
          <w:rFonts w:ascii="Arial" w:eastAsia="Arial" w:hAnsi="Arial" w:cs="Arial"/>
          <w:color w:val="auto"/>
        </w:rPr>
        <w:t xml:space="preserve"> </w:t>
      </w:r>
    </w:p>
    <w:p w14:paraId="01C45453" w14:textId="0631F899" w:rsidR="38A766C2" w:rsidRPr="00656D2C" w:rsidRDefault="00F368B1">
      <w:pPr>
        <w:rPr>
          <w:rFonts w:ascii="Arial" w:eastAsia="Arial" w:hAnsi="Arial" w:cs="Arial"/>
          <w:color w:val="auto"/>
        </w:rPr>
      </w:pPr>
      <w:r>
        <w:rPr>
          <w:rFonts w:ascii="Arial" w:eastAsia="Arial" w:hAnsi="Arial" w:cs="Arial"/>
          <w:color w:val="auto"/>
        </w:rPr>
        <w:t xml:space="preserve">For further information on the </w:t>
      </w:r>
      <w:r w:rsidR="38A766C2" w:rsidRPr="00656D2C">
        <w:rPr>
          <w:rFonts w:ascii="Arial" w:eastAsia="Arial" w:hAnsi="Arial" w:cs="Arial"/>
          <w:color w:val="auto"/>
        </w:rPr>
        <w:t xml:space="preserve">escalation rate forecasts and accompanying model </w:t>
      </w:r>
      <w:r w:rsidR="00A140AA">
        <w:rPr>
          <w:rFonts w:ascii="Arial" w:eastAsia="Arial" w:hAnsi="Arial" w:cs="Arial"/>
          <w:color w:val="auto"/>
        </w:rPr>
        <w:t xml:space="preserve">contact </w:t>
      </w:r>
      <w:r w:rsidR="38A766C2" w:rsidRPr="00656D2C">
        <w:rPr>
          <w:rFonts w:ascii="Arial" w:eastAsia="Arial" w:hAnsi="Arial" w:cs="Arial"/>
          <w:color w:val="auto"/>
        </w:rPr>
        <w:t>Jamie Jacob (</w:t>
      </w:r>
      <w:hyperlink r:id="rId24" w:history="1">
        <w:r w:rsidR="38A766C2" w:rsidRPr="1183C83A">
          <w:rPr>
            <w:rStyle w:val="Hyperlink"/>
            <w:rFonts w:ascii="Arial" w:eastAsia="Arial" w:hAnsi="Arial" w:cs="Arial"/>
          </w:rPr>
          <w:t>Jamie.jacob@dtf.gov.au</w:t>
        </w:r>
      </w:hyperlink>
      <w:r w:rsidR="38A766C2" w:rsidRPr="00656D2C">
        <w:rPr>
          <w:rFonts w:ascii="Arial" w:eastAsia="Arial" w:hAnsi="Arial" w:cs="Arial"/>
          <w:color w:val="auto"/>
        </w:rPr>
        <w:t xml:space="preserve">) </w:t>
      </w:r>
      <w:r w:rsidR="00A140AA">
        <w:rPr>
          <w:rFonts w:ascii="Arial" w:eastAsia="Arial" w:hAnsi="Arial" w:cs="Arial"/>
          <w:color w:val="auto"/>
        </w:rPr>
        <w:t xml:space="preserve">or </w:t>
      </w:r>
      <w:r w:rsidR="38A766C2" w:rsidRPr="00656D2C">
        <w:rPr>
          <w:rFonts w:ascii="Arial" w:eastAsia="Arial" w:hAnsi="Arial" w:cs="Arial"/>
          <w:color w:val="auto"/>
        </w:rPr>
        <w:t xml:space="preserve"> </w:t>
      </w:r>
      <w:r w:rsidR="00A140AA">
        <w:rPr>
          <w:rFonts w:ascii="Arial" w:eastAsia="Arial" w:hAnsi="Arial" w:cs="Arial"/>
          <w:color w:val="auto"/>
        </w:rPr>
        <w:t>Andrew Tarrant</w:t>
      </w:r>
      <w:r w:rsidR="38A766C2" w:rsidRPr="00656D2C">
        <w:rPr>
          <w:rFonts w:ascii="Arial" w:eastAsia="Arial" w:hAnsi="Arial" w:cs="Arial"/>
          <w:color w:val="auto"/>
        </w:rPr>
        <w:t xml:space="preserve"> (</w:t>
      </w:r>
      <w:hyperlink r:id="rId25" w:history="1">
        <w:r w:rsidR="009A208C">
          <w:rPr>
            <w:rStyle w:val="Hyperlink"/>
            <w:rFonts w:ascii="Arial" w:eastAsia="Arial" w:hAnsi="Arial" w:cs="Arial"/>
          </w:rPr>
          <w:t>andrew.tarrant</w:t>
        </w:r>
        <w:r w:rsidR="38A766C2" w:rsidRPr="1183C83A">
          <w:rPr>
            <w:rStyle w:val="Hyperlink"/>
            <w:rFonts w:ascii="Arial" w:eastAsia="Arial" w:hAnsi="Arial" w:cs="Arial"/>
          </w:rPr>
          <w:t>@dtf.</w:t>
        </w:r>
        <w:r w:rsidR="009A208C">
          <w:rPr>
            <w:rStyle w:val="Hyperlink"/>
            <w:rFonts w:ascii="Arial" w:eastAsia="Arial" w:hAnsi="Arial" w:cs="Arial"/>
          </w:rPr>
          <w:t>vic.</w:t>
        </w:r>
        <w:r w:rsidR="38A766C2" w:rsidRPr="1183C83A">
          <w:rPr>
            <w:rStyle w:val="Hyperlink"/>
            <w:rFonts w:ascii="Arial" w:eastAsia="Arial" w:hAnsi="Arial" w:cs="Arial"/>
          </w:rPr>
          <w:t>gov.au</w:t>
        </w:r>
      </w:hyperlink>
      <w:r w:rsidR="38A766C2" w:rsidRPr="00656D2C">
        <w:rPr>
          <w:rFonts w:ascii="Arial" w:eastAsia="Arial" w:hAnsi="Arial" w:cs="Arial"/>
          <w:color w:val="auto"/>
        </w:rPr>
        <w:t>).</w:t>
      </w:r>
    </w:p>
    <w:p w14:paraId="2E63B828" w14:textId="03BE45C8" w:rsidR="00CD09F8" w:rsidRPr="00440869" w:rsidRDefault="00CD09F8" w:rsidP="00440869">
      <w:pPr>
        <w:rPr>
          <w:color w:val="auto"/>
        </w:rPr>
      </w:pPr>
    </w:p>
    <w:sectPr w:rsidR="00CD09F8" w:rsidRPr="00440869" w:rsidSect="00DC1F9A">
      <w:headerReference w:type="even" r:id="rId26"/>
      <w:headerReference w:type="default" r:id="rId27"/>
      <w:footerReference w:type="even" r:id="rId28"/>
      <w:footerReference w:type="default" r:id="rId29"/>
      <w:headerReference w:type="first" r:id="rId30"/>
      <w:footerReference w:type="first" r:id="rId31"/>
      <w:pgSz w:w="11906" w:h="16838" w:code="9"/>
      <w:pgMar w:top="2160" w:right="1440" w:bottom="1729"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9C69" w14:textId="77777777" w:rsidR="00605E5C" w:rsidRDefault="00605E5C" w:rsidP="002D711A">
      <w:pPr>
        <w:spacing w:after="0" w:line="240" w:lineRule="auto"/>
      </w:pPr>
      <w:r>
        <w:separator/>
      </w:r>
    </w:p>
  </w:endnote>
  <w:endnote w:type="continuationSeparator" w:id="0">
    <w:p w14:paraId="71497594" w14:textId="77777777" w:rsidR="00605E5C" w:rsidRDefault="00605E5C" w:rsidP="002D711A">
      <w:pPr>
        <w:spacing w:after="0" w:line="240" w:lineRule="auto"/>
      </w:pPr>
      <w:r>
        <w:continuationSeparator/>
      </w:r>
    </w:p>
  </w:endnote>
  <w:endnote w:type="continuationNotice" w:id="1">
    <w:p w14:paraId="27734054" w14:textId="77777777" w:rsidR="00605E5C" w:rsidRDefault="00605E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A75E" w14:textId="77777777" w:rsidR="00B451D2" w:rsidRDefault="00B45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F1E6" w14:textId="221E8256" w:rsidR="00AD539E" w:rsidRPr="00C022F9" w:rsidRDefault="00AD539E" w:rsidP="008E49B3">
    <w:pPr>
      <w:pStyle w:val="Footer"/>
    </w:pPr>
    <w:r w:rsidRPr="008E49B3">
      <w:rPr>
        <w:b/>
        <w:noProof w:val="0"/>
      </w:rPr>
      <w:fldChar w:fldCharType="begin"/>
    </w:r>
    <w:r w:rsidRPr="008E49B3">
      <w:rPr>
        <w:b/>
      </w:rPr>
      <w:instrText xml:space="preserve"> StyleRef “Title” </w:instrText>
    </w:r>
    <w:r w:rsidRPr="008E49B3">
      <w:rPr>
        <w:b/>
        <w:noProof w:val="0"/>
      </w:rPr>
      <w:fldChar w:fldCharType="separate"/>
    </w:r>
    <w:r w:rsidR="00D00235">
      <w:rPr>
        <w:b/>
      </w:rPr>
      <w:t xml:space="preserve">Attachment E: </w:t>
    </w:r>
    <w:r w:rsidR="00D00235">
      <w:rPr>
        <w:b/>
      </w:rPr>
      <w:br/>
      <w:t>2025-26 Budget submission and template – Additional guidance</w:t>
    </w:r>
    <w:r w:rsidRPr="008E49B3">
      <w:rPr>
        <w:b/>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3C6C" w14:textId="77777777" w:rsidR="00AD539E" w:rsidRDefault="00AD539E" w:rsidP="00C02CEC">
    <w:pPr>
      <w:pStyle w:val="Footer"/>
      <w:tabs>
        <w:tab w:val="clear" w:pos="9026"/>
      </w:tabs>
      <w:ind w:right="-432"/>
      <w:jc w:val="right"/>
    </w:pPr>
    <w:r>
      <w:drawing>
        <wp:inline distT="0" distB="0" distL="0" distR="0" wp14:anchorId="6394E34D" wp14:editId="61E0FC01">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9090C" w14:textId="77777777" w:rsidR="00605E5C" w:rsidRDefault="00605E5C" w:rsidP="002D711A">
      <w:pPr>
        <w:spacing w:after="0" w:line="240" w:lineRule="auto"/>
      </w:pPr>
      <w:r>
        <w:separator/>
      </w:r>
    </w:p>
  </w:footnote>
  <w:footnote w:type="continuationSeparator" w:id="0">
    <w:p w14:paraId="23F6FD8D" w14:textId="77777777" w:rsidR="00605E5C" w:rsidRDefault="00605E5C" w:rsidP="002D711A">
      <w:pPr>
        <w:spacing w:after="0" w:line="240" w:lineRule="auto"/>
      </w:pPr>
      <w:r>
        <w:continuationSeparator/>
      </w:r>
    </w:p>
  </w:footnote>
  <w:footnote w:type="continuationNotice" w:id="1">
    <w:p w14:paraId="5784EC55" w14:textId="77777777" w:rsidR="00605E5C" w:rsidRDefault="00605E5C">
      <w:pPr>
        <w:spacing w:before="0" w:after="0" w:line="240" w:lineRule="auto"/>
      </w:pPr>
    </w:p>
  </w:footnote>
  <w:footnote w:id="2">
    <w:p w14:paraId="5F229EE1" w14:textId="43D60430" w:rsidR="007234B3" w:rsidRDefault="007234B3">
      <w:pPr>
        <w:pStyle w:val="FootnoteText"/>
      </w:pPr>
      <w:r w:rsidRPr="00682215">
        <w:rPr>
          <w:rStyle w:val="FootnoteReference"/>
        </w:rPr>
        <w:footnoteRef/>
      </w:r>
      <w:r w:rsidRPr="00682215">
        <w:t xml:space="preserve"> This does not include Court Services Victoria</w:t>
      </w:r>
    </w:p>
  </w:footnote>
  <w:footnote w:id="3">
    <w:p w14:paraId="4F06A9D3" w14:textId="77777777" w:rsidR="005B280E" w:rsidRPr="00412CC4" w:rsidRDefault="005B280E" w:rsidP="005B280E">
      <w:pPr>
        <w:pStyle w:val="FootnoteText"/>
        <w:jc w:val="both"/>
        <w:rPr>
          <w:sz w:val="18"/>
          <w:szCs w:val="18"/>
        </w:rPr>
      </w:pPr>
      <w:r w:rsidRPr="00412CC4">
        <w:rPr>
          <w:rStyle w:val="FootnoteReference"/>
          <w:b/>
          <w:bCs/>
          <w:sz w:val="18"/>
          <w:szCs w:val="18"/>
        </w:rPr>
        <w:footnoteRef/>
      </w:r>
      <w:r w:rsidRPr="00412CC4">
        <w:rPr>
          <w:sz w:val="18"/>
          <w:szCs w:val="18"/>
        </w:rPr>
        <w:t xml:space="preserve"> The cost components listed are to be used as guidance. Delivery agencies should follow the rules of ‘best-fit’ to ensure that all owner’s costs are captured, categorised and reflected correctly.</w:t>
      </w:r>
    </w:p>
  </w:footnote>
  <w:footnote w:id="4">
    <w:p w14:paraId="4DADE1B0" w14:textId="77777777" w:rsidR="005B280E" w:rsidRPr="00412CC4" w:rsidRDefault="005B280E" w:rsidP="005B280E">
      <w:pPr>
        <w:pStyle w:val="FootnoteText"/>
        <w:rPr>
          <w:sz w:val="18"/>
          <w:szCs w:val="18"/>
        </w:rPr>
      </w:pPr>
      <w:r w:rsidRPr="00412CC4">
        <w:rPr>
          <w:rStyle w:val="FootnoteReference"/>
          <w:b/>
          <w:sz w:val="18"/>
          <w:szCs w:val="18"/>
        </w:rPr>
        <w:footnoteRef/>
      </w:r>
      <w:r w:rsidRPr="00412CC4">
        <w:rPr>
          <w:sz w:val="18"/>
          <w:szCs w:val="18"/>
        </w:rPr>
        <w:t xml:space="preserve"> A nil response for a specific owner’s cost</w:t>
      </w:r>
      <w:r>
        <w:rPr>
          <w:sz w:val="18"/>
          <w:szCs w:val="18"/>
        </w:rPr>
        <w:t>s</w:t>
      </w:r>
      <w:r w:rsidRPr="00412CC4">
        <w:rPr>
          <w:sz w:val="18"/>
          <w:szCs w:val="18"/>
        </w:rPr>
        <w:t xml:space="preserve"> category indicates that a delivery agency does not report on these costs i.e. costs will be assumed zero.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9E21" w14:textId="77777777" w:rsidR="00B451D2" w:rsidRDefault="00B45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FF82" w14:textId="77777777" w:rsidR="00AD539E" w:rsidRPr="0041689E" w:rsidRDefault="00AD539E">
    <w:pPr>
      <w:pStyle w:val="Header"/>
    </w:pPr>
    <w:r>
      <w:rPr>
        <w:noProof/>
      </w:rPr>
      <mc:AlternateContent>
        <mc:Choice Requires="wpg">
          <w:drawing>
            <wp:anchor distT="0" distB="0" distL="114300" distR="114300" simplePos="0" relativeHeight="251658240" behindDoc="0" locked="0" layoutInCell="1" allowOverlap="1" wp14:anchorId="516D3D10" wp14:editId="66CC6461">
              <wp:simplePos x="0" y="0"/>
              <wp:positionH relativeFrom="page">
                <wp:posOffset>0</wp:posOffset>
              </wp:positionH>
              <wp:positionV relativeFrom="page">
                <wp:posOffset>0</wp:posOffset>
              </wp:positionV>
              <wp:extent cx="7598664" cy="978408"/>
              <wp:effectExtent l="0" t="0" r="254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BD5EF8C" id="Group 5" o:spid="_x0000_s1026" alt="&quot;&quot;" style="position:absolute;margin-left:0;margin-top:0;width:598.3pt;height:77.05pt;z-index:251658240;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JgLZL4/BgAAqSQAAA4AAAAA&#10;AAAAAAAAAAAALgIAAGRycy9lMm9Eb2MueG1sUEsBAi0AFAAGAAgAAAAhAJ4mYITdAAAABgEAAA8A&#10;AAAAAAAAAAAAAAAAmQgAAGRycy9kb3ducmV2LnhtbFBLBQYAAAAABAAEAPMAAACj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4569" w14:textId="77777777" w:rsidR="00AD539E" w:rsidRDefault="00AD539E">
    <w:pPr>
      <w:pStyle w:val="Header"/>
    </w:pPr>
    <w:r>
      <w:rPr>
        <w:noProof/>
      </w:rPr>
      <mc:AlternateContent>
        <mc:Choice Requires="wpg">
          <w:drawing>
            <wp:anchor distT="0" distB="0" distL="114300" distR="114300" simplePos="0" relativeHeight="251658241" behindDoc="0" locked="0" layoutInCell="1" allowOverlap="1" wp14:anchorId="4A33C7B6" wp14:editId="3F816F3A">
              <wp:simplePos x="0" y="0"/>
              <wp:positionH relativeFrom="page">
                <wp:posOffset>0</wp:posOffset>
              </wp:positionH>
              <wp:positionV relativeFrom="page">
                <wp:posOffset>0</wp:posOffset>
              </wp:positionV>
              <wp:extent cx="7598664" cy="978408"/>
              <wp:effectExtent l="0" t="0" r="254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21701EA" id="Group 1" o:spid="_x0000_s1026" alt="&quot;&quot;" style="position:absolute;margin-left:0;margin-top:0;width:598.3pt;height:77.05pt;z-index:251658241;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424B3C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4C269D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F4365522"/>
    <w:lvl w:ilvl="0">
      <w:start w:val="1"/>
      <w:numFmt w:val="decimal"/>
      <w:lvlText w:val="%1."/>
      <w:lvlJc w:val="left"/>
      <w:pPr>
        <w:tabs>
          <w:tab w:val="num" w:pos="360"/>
        </w:tabs>
        <w:ind w:left="360" w:hanging="360"/>
      </w:pPr>
    </w:lvl>
  </w:abstractNum>
  <w:abstractNum w:abstractNumId="3"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055374E0"/>
    <w:multiLevelType w:val="hybridMultilevel"/>
    <w:tmpl w:val="1A6E2D0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6" w15:restartNumberingAfterBreak="0">
    <w:nsid w:val="18DD11EF"/>
    <w:multiLevelType w:val="multilevel"/>
    <w:tmpl w:val="7B421030"/>
    <w:styleLink w:val="NumberedHeadingStyle"/>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964" w:hanging="397"/>
      </w:pPr>
      <w:rPr>
        <w:rFonts w:hint="default"/>
      </w:rPr>
    </w:lvl>
    <w:lvl w:ilvl="2">
      <w:start w:val="1"/>
      <w:numFmt w:val="decimal"/>
      <w:pStyle w:val="Heading3numbered"/>
      <w:lvlText w:val="%1.%2.%3."/>
      <w:lvlJc w:val="left"/>
      <w:pPr>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AA67EC"/>
    <w:multiLevelType w:val="hybridMultilevel"/>
    <w:tmpl w:val="0AC2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3D38C6"/>
    <w:multiLevelType w:val="multilevel"/>
    <w:tmpl w:val="85C4521A"/>
    <w:numStyleLink w:val="NumberedListStyle"/>
  </w:abstractNum>
  <w:abstractNum w:abstractNumId="9"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9954B9"/>
    <w:multiLevelType w:val="hybridMultilevel"/>
    <w:tmpl w:val="E7BA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2D071A"/>
    <w:multiLevelType w:val="hybridMultilevel"/>
    <w:tmpl w:val="6446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45B3E"/>
    <w:multiLevelType w:val="multilevel"/>
    <w:tmpl w:val="85C4521A"/>
    <w:styleLink w:val="NumberedListStyle"/>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3" w15:restartNumberingAfterBreak="0">
    <w:nsid w:val="35292B37"/>
    <w:multiLevelType w:val="hybridMultilevel"/>
    <w:tmpl w:val="140A3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C42B87"/>
    <w:multiLevelType w:val="hybridMultilevel"/>
    <w:tmpl w:val="3C3A0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7D35D4"/>
    <w:multiLevelType w:val="hybridMultilevel"/>
    <w:tmpl w:val="951A7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64353"/>
    <w:multiLevelType w:val="multilevel"/>
    <w:tmpl w:val="3D403B0E"/>
    <w:styleLink w:val="BulletListStyle"/>
    <w:lvl w:ilvl="0">
      <w:start w:val="1"/>
      <w:numFmt w:val="bullet"/>
      <w:pStyle w:val="ListBullet"/>
      <w:lvlText w:val=""/>
      <w:lvlJc w:val="left"/>
      <w:pPr>
        <w:ind w:left="284" w:hanging="284"/>
      </w:pPr>
      <w:rPr>
        <w:rFonts w:ascii="Symbol" w:hAnsi="Symbol" w:hint="default"/>
      </w:rPr>
    </w:lvl>
    <w:lvl w:ilvl="1">
      <w:start w:val="1"/>
      <w:numFmt w:val="none"/>
      <w:pStyle w:val="ListBullet2"/>
      <w:lvlText w:val="–"/>
      <w:lvlJc w:val="left"/>
      <w:pPr>
        <w:ind w:left="567" w:hanging="283"/>
      </w:pPr>
      <w:rPr>
        <w:rFonts w:hint="default"/>
      </w:rPr>
    </w:lvl>
    <w:lvl w:ilvl="2">
      <w:start w:val="1"/>
      <w:numFmt w:val="bullet"/>
      <w:pStyle w:val="ListBullet3"/>
      <w:lvlText w:val=""/>
      <w:lvlJc w:val="left"/>
      <w:pPr>
        <w:ind w:left="851" w:hanging="28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6D3A6A"/>
    <w:multiLevelType w:val="multilevel"/>
    <w:tmpl w:val="EA3CA93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6E1560A"/>
    <w:multiLevelType w:val="hybridMultilevel"/>
    <w:tmpl w:val="B23AF0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F06DDC"/>
    <w:multiLevelType w:val="multilevel"/>
    <w:tmpl w:val="3D403B0E"/>
    <w:numStyleLink w:val="BulletListStyle"/>
  </w:abstractNum>
  <w:abstractNum w:abstractNumId="20"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82A24"/>
    <w:multiLevelType w:val="hybridMultilevel"/>
    <w:tmpl w:val="B43A8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B4D59"/>
    <w:multiLevelType w:val="hybridMultilevel"/>
    <w:tmpl w:val="93B2A486"/>
    <w:lvl w:ilvl="0" w:tplc="40C8A2DE">
      <w:start w:val="7"/>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BE074B"/>
    <w:multiLevelType w:val="hybridMultilevel"/>
    <w:tmpl w:val="15ACA9CA"/>
    <w:lvl w:ilvl="0" w:tplc="58705958">
      <w:start w:val="1"/>
      <w:numFmt w:val="bullet"/>
      <w:lvlText w:val="•"/>
      <w:lvlJc w:val="left"/>
      <w:pPr>
        <w:tabs>
          <w:tab w:val="num" w:pos="720"/>
        </w:tabs>
        <w:ind w:left="720" w:hanging="360"/>
      </w:pPr>
      <w:rPr>
        <w:rFonts w:ascii="Times New Roman" w:hAnsi="Times New Roman" w:hint="default"/>
      </w:rPr>
    </w:lvl>
    <w:lvl w:ilvl="1" w:tplc="0500387E" w:tentative="1">
      <w:start w:val="1"/>
      <w:numFmt w:val="bullet"/>
      <w:lvlText w:val="•"/>
      <w:lvlJc w:val="left"/>
      <w:pPr>
        <w:tabs>
          <w:tab w:val="num" w:pos="1440"/>
        </w:tabs>
        <w:ind w:left="1440" w:hanging="360"/>
      </w:pPr>
      <w:rPr>
        <w:rFonts w:ascii="Times New Roman" w:hAnsi="Times New Roman" w:hint="default"/>
      </w:rPr>
    </w:lvl>
    <w:lvl w:ilvl="2" w:tplc="A25A084E" w:tentative="1">
      <w:start w:val="1"/>
      <w:numFmt w:val="bullet"/>
      <w:lvlText w:val="•"/>
      <w:lvlJc w:val="left"/>
      <w:pPr>
        <w:tabs>
          <w:tab w:val="num" w:pos="2160"/>
        </w:tabs>
        <w:ind w:left="2160" w:hanging="360"/>
      </w:pPr>
      <w:rPr>
        <w:rFonts w:ascii="Times New Roman" w:hAnsi="Times New Roman" w:hint="default"/>
      </w:rPr>
    </w:lvl>
    <w:lvl w:ilvl="3" w:tplc="E30A8424" w:tentative="1">
      <w:start w:val="1"/>
      <w:numFmt w:val="bullet"/>
      <w:lvlText w:val="•"/>
      <w:lvlJc w:val="left"/>
      <w:pPr>
        <w:tabs>
          <w:tab w:val="num" w:pos="2880"/>
        </w:tabs>
        <w:ind w:left="2880" w:hanging="360"/>
      </w:pPr>
      <w:rPr>
        <w:rFonts w:ascii="Times New Roman" w:hAnsi="Times New Roman" w:hint="default"/>
      </w:rPr>
    </w:lvl>
    <w:lvl w:ilvl="4" w:tplc="E168EEBC" w:tentative="1">
      <w:start w:val="1"/>
      <w:numFmt w:val="bullet"/>
      <w:lvlText w:val="•"/>
      <w:lvlJc w:val="left"/>
      <w:pPr>
        <w:tabs>
          <w:tab w:val="num" w:pos="3600"/>
        </w:tabs>
        <w:ind w:left="3600" w:hanging="360"/>
      </w:pPr>
      <w:rPr>
        <w:rFonts w:ascii="Times New Roman" w:hAnsi="Times New Roman" w:hint="default"/>
      </w:rPr>
    </w:lvl>
    <w:lvl w:ilvl="5" w:tplc="5C6ACED8" w:tentative="1">
      <w:start w:val="1"/>
      <w:numFmt w:val="bullet"/>
      <w:lvlText w:val="•"/>
      <w:lvlJc w:val="left"/>
      <w:pPr>
        <w:tabs>
          <w:tab w:val="num" w:pos="4320"/>
        </w:tabs>
        <w:ind w:left="4320" w:hanging="360"/>
      </w:pPr>
      <w:rPr>
        <w:rFonts w:ascii="Times New Roman" w:hAnsi="Times New Roman" w:hint="default"/>
      </w:rPr>
    </w:lvl>
    <w:lvl w:ilvl="6" w:tplc="BCFC86F6" w:tentative="1">
      <w:start w:val="1"/>
      <w:numFmt w:val="bullet"/>
      <w:lvlText w:val="•"/>
      <w:lvlJc w:val="left"/>
      <w:pPr>
        <w:tabs>
          <w:tab w:val="num" w:pos="5040"/>
        </w:tabs>
        <w:ind w:left="5040" w:hanging="360"/>
      </w:pPr>
      <w:rPr>
        <w:rFonts w:ascii="Times New Roman" w:hAnsi="Times New Roman" w:hint="default"/>
      </w:rPr>
    </w:lvl>
    <w:lvl w:ilvl="7" w:tplc="FA8A16C0" w:tentative="1">
      <w:start w:val="1"/>
      <w:numFmt w:val="bullet"/>
      <w:lvlText w:val="•"/>
      <w:lvlJc w:val="left"/>
      <w:pPr>
        <w:tabs>
          <w:tab w:val="num" w:pos="5760"/>
        </w:tabs>
        <w:ind w:left="5760" w:hanging="360"/>
      </w:pPr>
      <w:rPr>
        <w:rFonts w:ascii="Times New Roman" w:hAnsi="Times New Roman" w:hint="default"/>
      </w:rPr>
    </w:lvl>
    <w:lvl w:ilvl="8" w:tplc="407EAA9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D79A7C"/>
    <w:multiLevelType w:val="hybridMultilevel"/>
    <w:tmpl w:val="2DBE4448"/>
    <w:lvl w:ilvl="0" w:tplc="F6407EEC">
      <w:start w:val="1"/>
      <w:numFmt w:val="decimal"/>
      <w:lvlText w:val="%1."/>
      <w:lvlJc w:val="left"/>
      <w:pPr>
        <w:ind w:left="720" w:hanging="360"/>
      </w:pPr>
    </w:lvl>
    <w:lvl w:ilvl="1" w:tplc="803A9936">
      <w:start w:val="1"/>
      <w:numFmt w:val="lowerLetter"/>
      <w:lvlText w:val="%2."/>
      <w:lvlJc w:val="left"/>
      <w:pPr>
        <w:ind w:left="1440" w:hanging="360"/>
      </w:pPr>
    </w:lvl>
    <w:lvl w:ilvl="2" w:tplc="2B4EB3D8">
      <w:start w:val="1"/>
      <w:numFmt w:val="lowerRoman"/>
      <w:lvlText w:val="%3."/>
      <w:lvlJc w:val="right"/>
      <w:pPr>
        <w:ind w:left="2160" w:hanging="180"/>
      </w:pPr>
    </w:lvl>
    <w:lvl w:ilvl="3" w:tplc="EFAC50C0">
      <w:start w:val="1"/>
      <w:numFmt w:val="decimal"/>
      <w:lvlText w:val="%4."/>
      <w:lvlJc w:val="left"/>
      <w:pPr>
        <w:ind w:left="2880" w:hanging="360"/>
      </w:pPr>
    </w:lvl>
    <w:lvl w:ilvl="4" w:tplc="4E6A8A42">
      <w:start w:val="1"/>
      <w:numFmt w:val="lowerLetter"/>
      <w:lvlText w:val="%5."/>
      <w:lvlJc w:val="left"/>
      <w:pPr>
        <w:ind w:left="3600" w:hanging="360"/>
      </w:pPr>
    </w:lvl>
    <w:lvl w:ilvl="5" w:tplc="AFF8597C">
      <w:start w:val="1"/>
      <w:numFmt w:val="lowerRoman"/>
      <w:lvlText w:val="%6."/>
      <w:lvlJc w:val="right"/>
      <w:pPr>
        <w:ind w:left="4320" w:hanging="180"/>
      </w:pPr>
    </w:lvl>
    <w:lvl w:ilvl="6" w:tplc="51CEA1B4">
      <w:start w:val="1"/>
      <w:numFmt w:val="decimal"/>
      <w:lvlText w:val="%7."/>
      <w:lvlJc w:val="left"/>
      <w:pPr>
        <w:ind w:left="5040" w:hanging="360"/>
      </w:pPr>
    </w:lvl>
    <w:lvl w:ilvl="7" w:tplc="F70E6372">
      <w:start w:val="1"/>
      <w:numFmt w:val="lowerLetter"/>
      <w:lvlText w:val="%8."/>
      <w:lvlJc w:val="left"/>
      <w:pPr>
        <w:ind w:left="5760" w:hanging="360"/>
      </w:pPr>
    </w:lvl>
    <w:lvl w:ilvl="8" w:tplc="8BD2945C">
      <w:start w:val="1"/>
      <w:numFmt w:val="lowerRoman"/>
      <w:lvlText w:val="%9."/>
      <w:lvlJc w:val="right"/>
      <w:pPr>
        <w:ind w:left="6480" w:hanging="180"/>
      </w:pPr>
    </w:lvl>
  </w:abstractNum>
  <w:abstractNum w:abstractNumId="25" w15:restartNumberingAfterBreak="0">
    <w:nsid w:val="60991D2C"/>
    <w:multiLevelType w:val="hybridMultilevel"/>
    <w:tmpl w:val="9C34ED86"/>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C01DFD"/>
    <w:multiLevelType w:val="hybridMultilevel"/>
    <w:tmpl w:val="2F123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1F3BB2"/>
    <w:multiLevelType w:val="multilevel"/>
    <w:tmpl w:val="85C4521A"/>
    <w:numStyleLink w:val="NumberedListStyle"/>
  </w:abstractNum>
  <w:abstractNum w:abstractNumId="28" w15:restartNumberingAfterBreak="0">
    <w:nsid w:val="6FB950F8"/>
    <w:multiLevelType w:val="hybridMultilevel"/>
    <w:tmpl w:val="DCB2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E4062E"/>
    <w:multiLevelType w:val="hybridMultilevel"/>
    <w:tmpl w:val="8E5CDF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8592D7C"/>
    <w:multiLevelType w:val="hybridMultilevel"/>
    <w:tmpl w:val="3BEC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3040171">
    <w:abstractNumId w:val="17"/>
  </w:num>
  <w:num w:numId="2" w16cid:durableId="1559508478">
    <w:abstractNumId w:val="9"/>
  </w:num>
  <w:num w:numId="3" w16cid:durableId="1492602975">
    <w:abstractNumId w:val="5"/>
  </w:num>
  <w:num w:numId="4" w16cid:durableId="2026974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948006">
    <w:abstractNumId w:val="6"/>
  </w:num>
  <w:num w:numId="6" w16cid:durableId="2024432360">
    <w:abstractNumId w:val="12"/>
  </w:num>
  <w:num w:numId="7" w16cid:durableId="500657035">
    <w:abstractNumId w:val="20"/>
  </w:num>
  <w:num w:numId="8" w16cid:durableId="497117387">
    <w:abstractNumId w:val="2"/>
  </w:num>
  <w:num w:numId="9" w16cid:durableId="1749494421">
    <w:abstractNumId w:val="1"/>
  </w:num>
  <w:num w:numId="10" w16cid:durableId="374426103">
    <w:abstractNumId w:val="0"/>
  </w:num>
  <w:num w:numId="11" w16cid:durableId="1480687273">
    <w:abstractNumId w:val="27"/>
  </w:num>
  <w:num w:numId="12" w16cid:durableId="1635909878">
    <w:abstractNumId w:val="16"/>
  </w:num>
  <w:num w:numId="13" w16cid:durableId="3324968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0191420">
    <w:abstractNumId w:val="19"/>
  </w:num>
  <w:num w:numId="15" w16cid:durableId="327752093">
    <w:abstractNumId w:val="8"/>
  </w:num>
  <w:num w:numId="16" w16cid:durableId="2081900570">
    <w:abstractNumId w:val="6"/>
  </w:num>
  <w:num w:numId="17" w16cid:durableId="2097701031">
    <w:abstractNumId w:val="11"/>
  </w:num>
  <w:num w:numId="18" w16cid:durableId="297419890">
    <w:abstractNumId w:val="3"/>
  </w:num>
  <w:num w:numId="19" w16cid:durableId="67923720">
    <w:abstractNumId w:val="15"/>
  </w:num>
  <w:num w:numId="20" w16cid:durableId="1787894918">
    <w:abstractNumId w:val="21"/>
  </w:num>
  <w:num w:numId="21" w16cid:durableId="1243225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5513133">
    <w:abstractNumId w:val="13"/>
  </w:num>
  <w:num w:numId="23" w16cid:durableId="137693934">
    <w:abstractNumId w:val="25"/>
  </w:num>
  <w:num w:numId="24" w16cid:durableId="1819572987">
    <w:abstractNumId w:val="24"/>
  </w:num>
  <w:num w:numId="25" w16cid:durableId="187529940">
    <w:abstractNumId w:val="23"/>
  </w:num>
  <w:num w:numId="26" w16cid:durableId="18167313">
    <w:abstractNumId w:val="26"/>
  </w:num>
  <w:num w:numId="27" w16cid:durableId="1568684598">
    <w:abstractNumId w:val="18"/>
  </w:num>
  <w:num w:numId="28" w16cid:durableId="683946604">
    <w:abstractNumId w:val="7"/>
  </w:num>
  <w:num w:numId="29" w16cid:durableId="1875653632">
    <w:abstractNumId w:val="22"/>
  </w:num>
  <w:num w:numId="30" w16cid:durableId="1129975198">
    <w:abstractNumId w:val="10"/>
  </w:num>
  <w:num w:numId="31" w16cid:durableId="1942955526">
    <w:abstractNumId w:val="28"/>
  </w:num>
  <w:num w:numId="32" w16cid:durableId="485243455">
    <w:abstractNumId w:val="14"/>
  </w:num>
  <w:num w:numId="33" w16cid:durableId="1675643648">
    <w:abstractNumId w:val="30"/>
  </w:num>
  <w:num w:numId="34" w16cid:durableId="413863796">
    <w:abstractNumId w:val="29"/>
  </w:num>
  <w:num w:numId="35" w16cid:durableId="5562075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4"/>
    <w:rsid w:val="000000C1"/>
    <w:rsid w:val="0000016A"/>
    <w:rsid w:val="00001874"/>
    <w:rsid w:val="00001917"/>
    <w:rsid w:val="00001D46"/>
    <w:rsid w:val="00001E7E"/>
    <w:rsid w:val="00001F10"/>
    <w:rsid w:val="00002C2A"/>
    <w:rsid w:val="00003E67"/>
    <w:rsid w:val="000044AC"/>
    <w:rsid w:val="00004679"/>
    <w:rsid w:val="00004844"/>
    <w:rsid w:val="000056D6"/>
    <w:rsid w:val="00005C0C"/>
    <w:rsid w:val="00005F5C"/>
    <w:rsid w:val="00006608"/>
    <w:rsid w:val="00007CCC"/>
    <w:rsid w:val="00010068"/>
    <w:rsid w:val="00010D3D"/>
    <w:rsid w:val="00010EE0"/>
    <w:rsid w:val="0001111F"/>
    <w:rsid w:val="00011617"/>
    <w:rsid w:val="00012A11"/>
    <w:rsid w:val="00012D94"/>
    <w:rsid w:val="00012E5B"/>
    <w:rsid w:val="00012EE5"/>
    <w:rsid w:val="00012F6F"/>
    <w:rsid w:val="00013237"/>
    <w:rsid w:val="00014213"/>
    <w:rsid w:val="00014B55"/>
    <w:rsid w:val="0001530B"/>
    <w:rsid w:val="000155A0"/>
    <w:rsid w:val="00015661"/>
    <w:rsid w:val="00015C3D"/>
    <w:rsid w:val="00016BD2"/>
    <w:rsid w:val="00016DD0"/>
    <w:rsid w:val="00017F03"/>
    <w:rsid w:val="000200B4"/>
    <w:rsid w:val="00020275"/>
    <w:rsid w:val="00020951"/>
    <w:rsid w:val="00020C03"/>
    <w:rsid w:val="00020E3E"/>
    <w:rsid w:val="000210A5"/>
    <w:rsid w:val="00021B21"/>
    <w:rsid w:val="00021F62"/>
    <w:rsid w:val="00021F9F"/>
    <w:rsid w:val="00022744"/>
    <w:rsid w:val="00022D24"/>
    <w:rsid w:val="00022F82"/>
    <w:rsid w:val="000238BA"/>
    <w:rsid w:val="00023A2C"/>
    <w:rsid w:val="00023BF3"/>
    <w:rsid w:val="0002438A"/>
    <w:rsid w:val="00024A7B"/>
    <w:rsid w:val="00025547"/>
    <w:rsid w:val="00026219"/>
    <w:rsid w:val="000262B1"/>
    <w:rsid w:val="00026811"/>
    <w:rsid w:val="000275EE"/>
    <w:rsid w:val="00027DD4"/>
    <w:rsid w:val="00030673"/>
    <w:rsid w:val="00030708"/>
    <w:rsid w:val="00030805"/>
    <w:rsid w:val="00030B67"/>
    <w:rsid w:val="00030B74"/>
    <w:rsid w:val="00031E1F"/>
    <w:rsid w:val="000321B1"/>
    <w:rsid w:val="0003237F"/>
    <w:rsid w:val="00032F40"/>
    <w:rsid w:val="0003335F"/>
    <w:rsid w:val="0003345A"/>
    <w:rsid w:val="00033737"/>
    <w:rsid w:val="00034035"/>
    <w:rsid w:val="00034C76"/>
    <w:rsid w:val="00034D7E"/>
    <w:rsid w:val="000354EA"/>
    <w:rsid w:val="00035F02"/>
    <w:rsid w:val="00036B5C"/>
    <w:rsid w:val="00036DB7"/>
    <w:rsid w:val="00036FEA"/>
    <w:rsid w:val="000370DF"/>
    <w:rsid w:val="00037910"/>
    <w:rsid w:val="00037F66"/>
    <w:rsid w:val="000401A7"/>
    <w:rsid w:val="00040A5A"/>
    <w:rsid w:val="00041028"/>
    <w:rsid w:val="00041139"/>
    <w:rsid w:val="00042863"/>
    <w:rsid w:val="00042A34"/>
    <w:rsid w:val="00043296"/>
    <w:rsid w:val="0004356D"/>
    <w:rsid w:val="00044485"/>
    <w:rsid w:val="00044D8C"/>
    <w:rsid w:val="00045296"/>
    <w:rsid w:val="0004601D"/>
    <w:rsid w:val="0004684A"/>
    <w:rsid w:val="00046D9B"/>
    <w:rsid w:val="0004744E"/>
    <w:rsid w:val="00047522"/>
    <w:rsid w:val="00050140"/>
    <w:rsid w:val="00050E74"/>
    <w:rsid w:val="00052AE3"/>
    <w:rsid w:val="000533DB"/>
    <w:rsid w:val="00053432"/>
    <w:rsid w:val="0005362C"/>
    <w:rsid w:val="00053A4A"/>
    <w:rsid w:val="00053C5D"/>
    <w:rsid w:val="00053E45"/>
    <w:rsid w:val="0005485D"/>
    <w:rsid w:val="00054C07"/>
    <w:rsid w:val="00055131"/>
    <w:rsid w:val="000553F4"/>
    <w:rsid w:val="00055EE7"/>
    <w:rsid w:val="00056602"/>
    <w:rsid w:val="0005685D"/>
    <w:rsid w:val="000570C2"/>
    <w:rsid w:val="000573D1"/>
    <w:rsid w:val="0005743E"/>
    <w:rsid w:val="00057503"/>
    <w:rsid w:val="00057F1C"/>
    <w:rsid w:val="00060DF9"/>
    <w:rsid w:val="000622C7"/>
    <w:rsid w:val="0006264E"/>
    <w:rsid w:val="00062E55"/>
    <w:rsid w:val="0006391B"/>
    <w:rsid w:val="00063F03"/>
    <w:rsid w:val="000642F0"/>
    <w:rsid w:val="0006457C"/>
    <w:rsid w:val="00064B42"/>
    <w:rsid w:val="00066E44"/>
    <w:rsid w:val="00067977"/>
    <w:rsid w:val="00067C11"/>
    <w:rsid w:val="0007042E"/>
    <w:rsid w:val="00070A9F"/>
    <w:rsid w:val="0007159C"/>
    <w:rsid w:val="000719BA"/>
    <w:rsid w:val="00072323"/>
    <w:rsid w:val="00072A2A"/>
    <w:rsid w:val="00072F2A"/>
    <w:rsid w:val="00072F4E"/>
    <w:rsid w:val="00073599"/>
    <w:rsid w:val="000736AC"/>
    <w:rsid w:val="00074151"/>
    <w:rsid w:val="00074DA0"/>
    <w:rsid w:val="000758D1"/>
    <w:rsid w:val="00075E6C"/>
    <w:rsid w:val="00076C21"/>
    <w:rsid w:val="00077763"/>
    <w:rsid w:val="00077D8E"/>
    <w:rsid w:val="00080281"/>
    <w:rsid w:val="00080EEC"/>
    <w:rsid w:val="00081BCE"/>
    <w:rsid w:val="00081F16"/>
    <w:rsid w:val="000822FF"/>
    <w:rsid w:val="000824BF"/>
    <w:rsid w:val="000835A0"/>
    <w:rsid w:val="00083B10"/>
    <w:rsid w:val="00083BC6"/>
    <w:rsid w:val="00084611"/>
    <w:rsid w:val="0008467E"/>
    <w:rsid w:val="00084782"/>
    <w:rsid w:val="00084C94"/>
    <w:rsid w:val="00085603"/>
    <w:rsid w:val="00085C53"/>
    <w:rsid w:val="00086808"/>
    <w:rsid w:val="000876EA"/>
    <w:rsid w:val="00087DC4"/>
    <w:rsid w:val="00090171"/>
    <w:rsid w:val="0009035E"/>
    <w:rsid w:val="000904A2"/>
    <w:rsid w:val="0009072D"/>
    <w:rsid w:val="00090B41"/>
    <w:rsid w:val="00090B74"/>
    <w:rsid w:val="0009189C"/>
    <w:rsid w:val="000927A5"/>
    <w:rsid w:val="00092DC6"/>
    <w:rsid w:val="00092F7D"/>
    <w:rsid w:val="000933A5"/>
    <w:rsid w:val="00093445"/>
    <w:rsid w:val="00093A65"/>
    <w:rsid w:val="0009431F"/>
    <w:rsid w:val="0009440C"/>
    <w:rsid w:val="00094992"/>
    <w:rsid w:val="00094A9A"/>
    <w:rsid w:val="00095D22"/>
    <w:rsid w:val="00096035"/>
    <w:rsid w:val="000967FD"/>
    <w:rsid w:val="00096B42"/>
    <w:rsid w:val="0009704D"/>
    <w:rsid w:val="0009776E"/>
    <w:rsid w:val="00097EB9"/>
    <w:rsid w:val="00097F29"/>
    <w:rsid w:val="000A038E"/>
    <w:rsid w:val="000A048F"/>
    <w:rsid w:val="000A09E2"/>
    <w:rsid w:val="000A0A49"/>
    <w:rsid w:val="000A0DC7"/>
    <w:rsid w:val="000A10E1"/>
    <w:rsid w:val="000A1306"/>
    <w:rsid w:val="000A1308"/>
    <w:rsid w:val="000A15D4"/>
    <w:rsid w:val="000A1F33"/>
    <w:rsid w:val="000A245B"/>
    <w:rsid w:val="000A2908"/>
    <w:rsid w:val="000A3608"/>
    <w:rsid w:val="000A4C55"/>
    <w:rsid w:val="000A5750"/>
    <w:rsid w:val="000A606E"/>
    <w:rsid w:val="000A60B7"/>
    <w:rsid w:val="000A6A66"/>
    <w:rsid w:val="000A7330"/>
    <w:rsid w:val="000A7541"/>
    <w:rsid w:val="000A75FA"/>
    <w:rsid w:val="000B018C"/>
    <w:rsid w:val="000B01A3"/>
    <w:rsid w:val="000B01CB"/>
    <w:rsid w:val="000B0EA2"/>
    <w:rsid w:val="000B136C"/>
    <w:rsid w:val="000B1FC7"/>
    <w:rsid w:val="000B29AD"/>
    <w:rsid w:val="000B2FEC"/>
    <w:rsid w:val="000B5606"/>
    <w:rsid w:val="000B5CFD"/>
    <w:rsid w:val="000B6064"/>
    <w:rsid w:val="000B61FE"/>
    <w:rsid w:val="000B621B"/>
    <w:rsid w:val="000B634F"/>
    <w:rsid w:val="000B6883"/>
    <w:rsid w:val="000B6B6A"/>
    <w:rsid w:val="000B704B"/>
    <w:rsid w:val="000B72E0"/>
    <w:rsid w:val="000C0F5B"/>
    <w:rsid w:val="000C13FA"/>
    <w:rsid w:val="000C14FC"/>
    <w:rsid w:val="000C1D2D"/>
    <w:rsid w:val="000C1D74"/>
    <w:rsid w:val="000C2125"/>
    <w:rsid w:val="000C2575"/>
    <w:rsid w:val="000C3394"/>
    <w:rsid w:val="000C3EBB"/>
    <w:rsid w:val="000C3FFA"/>
    <w:rsid w:val="000C4A4C"/>
    <w:rsid w:val="000C570A"/>
    <w:rsid w:val="000C5FF2"/>
    <w:rsid w:val="000C6166"/>
    <w:rsid w:val="000C6372"/>
    <w:rsid w:val="000C6A05"/>
    <w:rsid w:val="000C774E"/>
    <w:rsid w:val="000D044E"/>
    <w:rsid w:val="000D1FEA"/>
    <w:rsid w:val="000D28CC"/>
    <w:rsid w:val="000D28F2"/>
    <w:rsid w:val="000D3AB8"/>
    <w:rsid w:val="000D4754"/>
    <w:rsid w:val="000D593F"/>
    <w:rsid w:val="000D5A9B"/>
    <w:rsid w:val="000D655B"/>
    <w:rsid w:val="000D6BB6"/>
    <w:rsid w:val="000D6FE1"/>
    <w:rsid w:val="000D7114"/>
    <w:rsid w:val="000D758F"/>
    <w:rsid w:val="000D7649"/>
    <w:rsid w:val="000D7A10"/>
    <w:rsid w:val="000E070A"/>
    <w:rsid w:val="000E0F0A"/>
    <w:rsid w:val="000E17A9"/>
    <w:rsid w:val="000E24AB"/>
    <w:rsid w:val="000E26B7"/>
    <w:rsid w:val="000E30AE"/>
    <w:rsid w:val="000E33FE"/>
    <w:rsid w:val="000E369A"/>
    <w:rsid w:val="000E37EA"/>
    <w:rsid w:val="000E392D"/>
    <w:rsid w:val="000E3ACF"/>
    <w:rsid w:val="000E41CB"/>
    <w:rsid w:val="000E4658"/>
    <w:rsid w:val="000E4693"/>
    <w:rsid w:val="000E48AB"/>
    <w:rsid w:val="000E4B17"/>
    <w:rsid w:val="000E590E"/>
    <w:rsid w:val="000E6E55"/>
    <w:rsid w:val="000E72B0"/>
    <w:rsid w:val="000E766C"/>
    <w:rsid w:val="000F0021"/>
    <w:rsid w:val="000F0048"/>
    <w:rsid w:val="000F0665"/>
    <w:rsid w:val="000F1078"/>
    <w:rsid w:val="000F1DB8"/>
    <w:rsid w:val="000F263A"/>
    <w:rsid w:val="000F3BF5"/>
    <w:rsid w:val="000F4288"/>
    <w:rsid w:val="000F4624"/>
    <w:rsid w:val="000F4B1E"/>
    <w:rsid w:val="000F505A"/>
    <w:rsid w:val="000F521F"/>
    <w:rsid w:val="000F5B4B"/>
    <w:rsid w:val="000F6C40"/>
    <w:rsid w:val="000F7165"/>
    <w:rsid w:val="000F71C7"/>
    <w:rsid w:val="000F7D70"/>
    <w:rsid w:val="00100542"/>
    <w:rsid w:val="001008E6"/>
    <w:rsid w:val="0010156A"/>
    <w:rsid w:val="0010169A"/>
    <w:rsid w:val="00101AB0"/>
    <w:rsid w:val="0010212A"/>
    <w:rsid w:val="00102379"/>
    <w:rsid w:val="00103447"/>
    <w:rsid w:val="001034F0"/>
    <w:rsid w:val="001042B4"/>
    <w:rsid w:val="0010589E"/>
    <w:rsid w:val="00105B23"/>
    <w:rsid w:val="00106090"/>
    <w:rsid w:val="001065D6"/>
    <w:rsid w:val="00106BC5"/>
    <w:rsid w:val="00107701"/>
    <w:rsid w:val="00107D36"/>
    <w:rsid w:val="001102FF"/>
    <w:rsid w:val="00110FEB"/>
    <w:rsid w:val="00111956"/>
    <w:rsid w:val="00111BC6"/>
    <w:rsid w:val="00112954"/>
    <w:rsid w:val="0011368A"/>
    <w:rsid w:val="00113ACB"/>
    <w:rsid w:val="0011429F"/>
    <w:rsid w:val="001142FF"/>
    <w:rsid w:val="00114822"/>
    <w:rsid w:val="00114CD6"/>
    <w:rsid w:val="001152F9"/>
    <w:rsid w:val="00116528"/>
    <w:rsid w:val="001167AE"/>
    <w:rsid w:val="00117184"/>
    <w:rsid w:val="00120ED6"/>
    <w:rsid w:val="00121252"/>
    <w:rsid w:val="00121642"/>
    <w:rsid w:val="0012184A"/>
    <w:rsid w:val="00121AF3"/>
    <w:rsid w:val="00121BD4"/>
    <w:rsid w:val="0012252A"/>
    <w:rsid w:val="00122BAC"/>
    <w:rsid w:val="00122E49"/>
    <w:rsid w:val="00123A56"/>
    <w:rsid w:val="0012401E"/>
    <w:rsid w:val="00124609"/>
    <w:rsid w:val="00124713"/>
    <w:rsid w:val="00124793"/>
    <w:rsid w:val="00124C12"/>
    <w:rsid w:val="00124C77"/>
    <w:rsid w:val="00124E59"/>
    <w:rsid w:val="001254CE"/>
    <w:rsid w:val="00125CEA"/>
    <w:rsid w:val="00125F6D"/>
    <w:rsid w:val="00126370"/>
    <w:rsid w:val="00126AF9"/>
    <w:rsid w:val="001271AF"/>
    <w:rsid w:val="00127AF3"/>
    <w:rsid w:val="00127DFA"/>
    <w:rsid w:val="001305A5"/>
    <w:rsid w:val="00130A13"/>
    <w:rsid w:val="001313CC"/>
    <w:rsid w:val="00131694"/>
    <w:rsid w:val="001316FD"/>
    <w:rsid w:val="00131A60"/>
    <w:rsid w:val="00131D44"/>
    <w:rsid w:val="00131D93"/>
    <w:rsid w:val="00131F35"/>
    <w:rsid w:val="00134CEA"/>
    <w:rsid w:val="00134F46"/>
    <w:rsid w:val="00135357"/>
    <w:rsid w:val="00136139"/>
    <w:rsid w:val="00140933"/>
    <w:rsid w:val="00140EE6"/>
    <w:rsid w:val="0014166F"/>
    <w:rsid w:val="00141852"/>
    <w:rsid w:val="001422CC"/>
    <w:rsid w:val="00142CDC"/>
    <w:rsid w:val="00143349"/>
    <w:rsid w:val="001435E2"/>
    <w:rsid w:val="00144B70"/>
    <w:rsid w:val="00144CAC"/>
    <w:rsid w:val="00144FE1"/>
    <w:rsid w:val="001456B8"/>
    <w:rsid w:val="00145B4B"/>
    <w:rsid w:val="00145EEB"/>
    <w:rsid w:val="00146317"/>
    <w:rsid w:val="00146822"/>
    <w:rsid w:val="00146AE6"/>
    <w:rsid w:val="001471EC"/>
    <w:rsid w:val="001476A3"/>
    <w:rsid w:val="00147A5F"/>
    <w:rsid w:val="0015063C"/>
    <w:rsid w:val="00150724"/>
    <w:rsid w:val="001508F0"/>
    <w:rsid w:val="0015160D"/>
    <w:rsid w:val="00151C69"/>
    <w:rsid w:val="0015214B"/>
    <w:rsid w:val="0015296C"/>
    <w:rsid w:val="001529C7"/>
    <w:rsid w:val="00152A77"/>
    <w:rsid w:val="00153673"/>
    <w:rsid w:val="00153ED4"/>
    <w:rsid w:val="001555C7"/>
    <w:rsid w:val="00157243"/>
    <w:rsid w:val="001572E8"/>
    <w:rsid w:val="00157321"/>
    <w:rsid w:val="00157B1A"/>
    <w:rsid w:val="00160174"/>
    <w:rsid w:val="0016067B"/>
    <w:rsid w:val="00160B54"/>
    <w:rsid w:val="001616A8"/>
    <w:rsid w:val="001617B6"/>
    <w:rsid w:val="00161AA9"/>
    <w:rsid w:val="00161EE0"/>
    <w:rsid w:val="00161F4C"/>
    <w:rsid w:val="001622FA"/>
    <w:rsid w:val="0016254B"/>
    <w:rsid w:val="00162B9E"/>
    <w:rsid w:val="00162EE8"/>
    <w:rsid w:val="001637E6"/>
    <w:rsid w:val="001638B1"/>
    <w:rsid w:val="00163987"/>
    <w:rsid w:val="001639F7"/>
    <w:rsid w:val="00163BE1"/>
    <w:rsid w:val="00163D17"/>
    <w:rsid w:val="00163D91"/>
    <w:rsid w:val="00164B54"/>
    <w:rsid w:val="00164FEA"/>
    <w:rsid w:val="00165110"/>
    <w:rsid w:val="001653CA"/>
    <w:rsid w:val="0016544E"/>
    <w:rsid w:val="001655CB"/>
    <w:rsid w:val="00165A2E"/>
    <w:rsid w:val="00165E66"/>
    <w:rsid w:val="00165FD4"/>
    <w:rsid w:val="00166DDA"/>
    <w:rsid w:val="001671E6"/>
    <w:rsid w:val="00167C67"/>
    <w:rsid w:val="00170021"/>
    <w:rsid w:val="001702C9"/>
    <w:rsid w:val="0017049F"/>
    <w:rsid w:val="001709F7"/>
    <w:rsid w:val="001714AF"/>
    <w:rsid w:val="00171925"/>
    <w:rsid w:val="00171E39"/>
    <w:rsid w:val="001729B2"/>
    <w:rsid w:val="00172D5B"/>
    <w:rsid w:val="001731AD"/>
    <w:rsid w:val="0017321D"/>
    <w:rsid w:val="001734B0"/>
    <w:rsid w:val="00173AE7"/>
    <w:rsid w:val="00173D48"/>
    <w:rsid w:val="00173E1B"/>
    <w:rsid w:val="00176717"/>
    <w:rsid w:val="0017697D"/>
    <w:rsid w:val="00177018"/>
    <w:rsid w:val="001804E5"/>
    <w:rsid w:val="00180530"/>
    <w:rsid w:val="00181035"/>
    <w:rsid w:val="0018175F"/>
    <w:rsid w:val="00181DD9"/>
    <w:rsid w:val="0018286E"/>
    <w:rsid w:val="00182F55"/>
    <w:rsid w:val="00182FE0"/>
    <w:rsid w:val="0018413A"/>
    <w:rsid w:val="001878EB"/>
    <w:rsid w:val="00190775"/>
    <w:rsid w:val="00190B94"/>
    <w:rsid w:val="00190FBD"/>
    <w:rsid w:val="00192110"/>
    <w:rsid w:val="00192262"/>
    <w:rsid w:val="00192683"/>
    <w:rsid w:val="00192732"/>
    <w:rsid w:val="00192B9B"/>
    <w:rsid w:val="00193725"/>
    <w:rsid w:val="00193788"/>
    <w:rsid w:val="00193B11"/>
    <w:rsid w:val="00194098"/>
    <w:rsid w:val="001944A9"/>
    <w:rsid w:val="0019457E"/>
    <w:rsid w:val="00195C7D"/>
    <w:rsid w:val="00195EA5"/>
    <w:rsid w:val="001970E9"/>
    <w:rsid w:val="00197CF5"/>
    <w:rsid w:val="00197F68"/>
    <w:rsid w:val="001A0130"/>
    <w:rsid w:val="001A016F"/>
    <w:rsid w:val="001A0B44"/>
    <w:rsid w:val="001A1DE9"/>
    <w:rsid w:val="001A2EEC"/>
    <w:rsid w:val="001A3084"/>
    <w:rsid w:val="001A3406"/>
    <w:rsid w:val="001A3DD1"/>
    <w:rsid w:val="001A4153"/>
    <w:rsid w:val="001A4D63"/>
    <w:rsid w:val="001A58A6"/>
    <w:rsid w:val="001A5C3C"/>
    <w:rsid w:val="001A6823"/>
    <w:rsid w:val="001A6CC1"/>
    <w:rsid w:val="001A7DBB"/>
    <w:rsid w:val="001B13D9"/>
    <w:rsid w:val="001B1B32"/>
    <w:rsid w:val="001B2062"/>
    <w:rsid w:val="001B23B6"/>
    <w:rsid w:val="001B2965"/>
    <w:rsid w:val="001B3B40"/>
    <w:rsid w:val="001B3CFF"/>
    <w:rsid w:val="001B4B9C"/>
    <w:rsid w:val="001B4CFC"/>
    <w:rsid w:val="001B508F"/>
    <w:rsid w:val="001B65B7"/>
    <w:rsid w:val="001B65BA"/>
    <w:rsid w:val="001B6B9D"/>
    <w:rsid w:val="001B7251"/>
    <w:rsid w:val="001C0B29"/>
    <w:rsid w:val="001C1CC3"/>
    <w:rsid w:val="001C2349"/>
    <w:rsid w:val="001C2561"/>
    <w:rsid w:val="001C2BAA"/>
    <w:rsid w:val="001C340A"/>
    <w:rsid w:val="001C352E"/>
    <w:rsid w:val="001C37F7"/>
    <w:rsid w:val="001C3DBA"/>
    <w:rsid w:val="001C4182"/>
    <w:rsid w:val="001C4623"/>
    <w:rsid w:val="001C4967"/>
    <w:rsid w:val="001C4A34"/>
    <w:rsid w:val="001C4B88"/>
    <w:rsid w:val="001C4CBD"/>
    <w:rsid w:val="001C5B13"/>
    <w:rsid w:val="001C5E50"/>
    <w:rsid w:val="001C6366"/>
    <w:rsid w:val="001C6D58"/>
    <w:rsid w:val="001C74FD"/>
    <w:rsid w:val="001C753D"/>
    <w:rsid w:val="001C7BAE"/>
    <w:rsid w:val="001D08C3"/>
    <w:rsid w:val="001D0F02"/>
    <w:rsid w:val="001D14C8"/>
    <w:rsid w:val="001D25FA"/>
    <w:rsid w:val="001D2A26"/>
    <w:rsid w:val="001D37BC"/>
    <w:rsid w:val="001D3A88"/>
    <w:rsid w:val="001D3AE7"/>
    <w:rsid w:val="001D3EF9"/>
    <w:rsid w:val="001D40A5"/>
    <w:rsid w:val="001D4526"/>
    <w:rsid w:val="001D4728"/>
    <w:rsid w:val="001D47FF"/>
    <w:rsid w:val="001D55AC"/>
    <w:rsid w:val="001D5EF0"/>
    <w:rsid w:val="001D625C"/>
    <w:rsid w:val="001D6708"/>
    <w:rsid w:val="001D67B6"/>
    <w:rsid w:val="001D6B06"/>
    <w:rsid w:val="001D717E"/>
    <w:rsid w:val="001D757B"/>
    <w:rsid w:val="001D7874"/>
    <w:rsid w:val="001D78B6"/>
    <w:rsid w:val="001E151F"/>
    <w:rsid w:val="001E1B30"/>
    <w:rsid w:val="001E31FA"/>
    <w:rsid w:val="001E3ED2"/>
    <w:rsid w:val="001E41BD"/>
    <w:rsid w:val="001E486B"/>
    <w:rsid w:val="001E48FC"/>
    <w:rsid w:val="001E4C0A"/>
    <w:rsid w:val="001E5233"/>
    <w:rsid w:val="001E5865"/>
    <w:rsid w:val="001E64F6"/>
    <w:rsid w:val="001E6834"/>
    <w:rsid w:val="001E782D"/>
    <w:rsid w:val="001E78A8"/>
    <w:rsid w:val="001E7BCD"/>
    <w:rsid w:val="001F03D2"/>
    <w:rsid w:val="001F04BE"/>
    <w:rsid w:val="001F0CB5"/>
    <w:rsid w:val="001F1D2B"/>
    <w:rsid w:val="001F239F"/>
    <w:rsid w:val="001F29C5"/>
    <w:rsid w:val="001F2C12"/>
    <w:rsid w:val="001F389C"/>
    <w:rsid w:val="001F3B0A"/>
    <w:rsid w:val="001F3C9E"/>
    <w:rsid w:val="001F4353"/>
    <w:rsid w:val="001F4C85"/>
    <w:rsid w:val="001F4DE6"/>
    <w:rsid w:val="001F56B2"/>
    <w:rsid w:val="001F5D8F"/>
    <w:rsid w:val="001F613A"/>
    <w:rsid w:val="001F6625"/>
    <w:rsid w:val="001F66A7"/>
    <w:rsid w:val="001F68FF"/>
    <w:rsid w:val="001F74E8"/>
    <w:rsid w:val="001F7B74"/>
    <w:rsid w:val="0020066B"/>
    <w:rsid w:val="00200BB3"/>
    <w:rsid w:val="00201481"/>
    <w:rsid w:val="00202AFA"/>
    <w:rsid w:val="00202F5B"/>
    <w:rsid w:val="002034DF"/>
    <w:rsid w:val="00203BBD"/>
    <w:rsid w:val="00203D6F"/>
    <w:rsid w:val="00203FC3"/>
    <w:rsid w:val="00204410"/>
    <w:rsid w:val="00204734"/>
    <w:rsid w:val="00205383"/>
    <w:rsid w:val="002056E1"/>
    <w:rsid w:val="00205724"/>
    <w:rsid w:val="00205BB9"/>
    <w:rsid w:val="0020643B"/>
    <w:rsid w:val="002066C5"/>
    <w:rsid w:val="0020687F"/>
    <w:rsid w:val="00206D87"/>
    <w:rsid w:val="00207289"/>
    <w:rsid w:val="0020728D"/>
    <w:rsid w:val="00207A83"/>
    <w:rsid w:val="00207BBE"/>
    <w:rsid w:val="00207D15"/>
    <w:rsid w:val="00207F79"/>
    <w:rsid w:val="002104E0"/>
    <w:rsid w:val="00211EF7"/>
    <w:rsid w:val="00212685"/>
    <w:rsid w:val="00212933"/>
    <w:rsid w:val="00213A11"/>
    <w:rsid w:val="002145D5"/>
    <w:rsid w:val="002147AA"/>
    <w:rsid w:val="00214E95"/>
    <w:rsid w:val="00214F96"/>
    <w:rsid w:val="00216829"/>
    <w:rsid w:val="00216A69"/>
    <w:rsid w:val="00216B5B"/>
    <w:rsid w:val="00216D47"/>
    <w:rsid w:val="0021788A"/>
    <w:rsid w:val="00220561"/>
    <w:rsid w:val="00220EDE"/>
    <w:rsid w:val="002211C2"/>
    <w:rsid w:val="00222348"/>
    <w:rsid w:val="00222BEB"/>
    <w:rsid w:val="00223164"/>
    <w:rsid w:val="002237A3"/>
    <w:rsid w:val="0022416C"/>
    <w:rsid w:val="002246C9"/>
    <w:rsid w:val="00224781"/>
    <w:rsid w:val="00224E1D"/>
    <w:rsid w:val="00225A94"/>
    <w:rsid w:val="00225E60"/>
    <w:rsid w:val="00226571"/>
    <w:rsid w:val="002269C0"/>
    <w:rsid w:val="00226D44"/>
    <w:rsid w:val="00226EBC"/>
    <w:rsid w:val="00227C39"/>
    <w:rsid w:val="0023116D"/>
    <w:rsid w:val="00231AD7"/>
    <w:rsid w:val="0023202C"/>
    <w:rsid w:val="00232179"/>
    <w:rsid w:val="002323E2"/>
    <w:rsid w:val="00232623"/>
    <w:rsid w:val="002329BE"/>
    <w:rsid w:val="002329C4"/>
    <w:rsid w:val="002337CA"/>
    <w:rsid w:val="00233E01"/>
    <w:rsid w:val="002346D5"/>
    <w:rsid w:val="00234F78"/>
    <w:rsid w:val="0023555B"/>
    <w:rsid w:val="002358C2"/>
    <w:rsid w:val="00236203"/>
    <w:rsid w:val="00236A07"/>
    <w:rsid w:val="002372EB"/>
    <w:rsid w:val="002373CB"/>
    <w:rsid w:val="00237810"/>
    <w:rsid w:val="0024013F"/>
    <w:rsid w:val="002402E1"/>
    <w:rsid w:val="00240735"/>
    <w:rsid w:val="00241870"/>
    <w:rsid w:val="00241B6D"/>
    <w:rsid w:val="00241DC8"/>
    <w:rsid w:val="002431CC"/>
    <w:rsid w:val="00243D4D"/>
    <w:rsid w:val="00244429"/>
    <w:rsid w:val="00244BE4"/>
    <w:rsid w:val="00245043"/>
    <w:rsid w:val="002456DF"/>
    <w:rsid w:val="00245E5E"/>
    <w:rsid w:val="00245E88"/>
    <w:rsid w:val="00246415"/>
    <w:rsid w:val="00246F33"/>
    <w:rsid w:val="002472F8"/>
    <w:rsid w:val="00247F2B"/>
    <w:rsid w:val="00247F7A"/>
    <w:rsid w:val="002502B3"/>
    <w:rsid w:val="0025037B"/>
    <w:rsid w:val="00250F5C"/>
    <w:rsid w:val="002513A4"/>
    <w:rsid w:val="00251B46"/>
    <w:rsid w:val="00251D66"/>
    <w:rsid w:val="00252002"/>
    <w:rsid w:val="00252BE8"/>
    <w:rsid w:val="00253487"/>
    <w:rsid w:val="00253B7F"/>
    <w:rsid w:val="002547EA"/>
    <w:rsid w:val="00255216"/>
    <w:rsid w:val="00255777"/>
    <w:rsid w:val="002557DF"/>
    <w:rsid w:val="002559FD"/>
    <w:rsid w:val="00256BF6"/>
    <w:rsid w:val="00256F0E"/>
    <w:rsid w:val="0025737E"/>
    <w:rsid w:val="00257707"/>
    <w:rsid w:val="00257760"/>
    <w:rsid w:val="00257847"/>
    <w:rsid w:val="00257A31"/>
    <w:rsid w:val="00257A53"/>
    <w:rsid w:val="002607E3"/>
    <w:rsid w:val="00262AA9"/>
    <w:rsid w:val="00263687"/>
    <w:rsid w:val="00264339"/>
    <w:rsid w:val="0026460A"/>
    <w:rsid w:val="00264BF9"/>
    <w:rsid w:val="00265116"/>
    <w:rsid w:val="0026575F"/>
    <w:rsid w:val="00266BCF"/>
    <w:rsid w:val="00266CED"/>
    <w:rsid w:val="002702CB"/>
    <w:rsid w:val="00271340"/>
    <w:rsid w:val="00271DE2"/>
    <w:rsid w:val="00271F9D"/>
    <w:rsid w:val="00272070"/>
    <w:rsid w:val="00272D81"/>
    <w:rsid w:val="002730D8"/>
    <w:rsid w:val="002734F4"/>
    <w:rsid w:val="00274552"/>
    <w:rsid w:val="0027466D"/>
    <w:rsid w:val="00274694"/>
    <w:rsid w:val="002748FC"/>
    <w:rsid w:val="002749D8"/>
    <w:rsid w:val="00274AC5"/>
    <w:rsid w:val="0027577F"/>
    <w:rsid w:val="0027685F"/>
    <w:rsid w:val="00276874"/>
    <w:rsid w:val="0027696F"/>
    <w:rsid w:val="002773BD"/>
    <w:rsid w:val="002773CD"/>
    <w:rsid w:val="00277807"/>
    <w:rsid w:val="00277CD2"/>
    <w:rsid w:val="00277EDD"/>
    <w:rsid w:val="00277F14"/>
    <w:rsid w:val="00280306"/>
    <w:rsid w:val="00280634"/>
    <w:rsid w:val="00280938"/>
    <w:rsid w:val="00280E9E"/>
    <w:rsid w:val="002810BC"/>
    <w:rsid w:val="00281210"/>
    <w:rsid w:val="002814F1"/>
    <w:rsid w:val="00281665"/>
    <w:rsid w:val="00282008"/>
    <w:rsid w:val="002827BE"/>
    <w:rsid w:val="00282E19"/>
    <w:rsid w:val="00282E2A"/>
    <w:rsid w:val="00284023"/>
    <w:rsid w:val="00284D51"/>
    <w:rsid w:val="0028595C"/>
    <w:rsid w:val="00285ECE"/>
    <w:rsid w:val="002873B9"/>
    <w:rsid w:val="002877F8"/>
    <w:rsid w:val="00290094"/>
    <w:rsid w:val="002903C3"/>
    <w:rsid w:val="00291A4A"/>
    <w:rsid w:val="00291F02"/>
    <w:rsid w:val="002924A5"/>
    <w:rsid w:val="002925E2"/>
    <w:rsid w:val="00292D36"/>
    <w:rsid w:val="00292F21"/>
    <w:rsid w:val="00293635"/>
    <w:rsid w:val="00293693"/>
    <w:rsid w:val="002943C0"/>
    <w:rsid w:val="002947A0"/>
    <w:rsid w:val="00294A37"/>
    <w:rsid w:val="00294EA9"/>
    <w:rsid w:val="00296EA0"/>
    <w:rsid w:val="00297281"/>
    <w:rsid w:val="00297AC4"/>
    <w:rsid w:val="00297AD7"/>
    <w:rsid w:val="00297E82"/>
    <w:rsid w:val="002A0633"/>
    <w:rsid w:val="002A07D6"/>
    <w:rsid w:val="002A0C9E"/>
    <w:rsid w:val="002A197C"/>
    <w:rsid w:val="002A224E"/>
    <w:rsid w:val="002A28C6"/>
    <w:rsid w:val="002A2935"/>
    <w:rsid w:val="002A3742"/>
    <w:rsid w:val="002A477B"/>
    <w:rsid w:val="002A4E4F"/>
    <w:rsid w:val="002A571E"/>
    <w:rsid w:val="002A601A"/>
    <w:rsid w:val="002A6337"/>
    <w:rsid w:val="002A66CF"/>
    <w:rsid w:val="002A75A7"/>
    <w:rsid w:val="002A7DAE"/>
    <w:rsid w:val="002B02E2"/>
    <w:rsid w:val="002B0557"/>
    <w:rsid w:val="002B059A"/>
    <w:rsid w:val="002B0E68"/>
    <w:rsid w:val="002B0FD4"/>
    <w:rsid w:val="002B2EBF"/>
    <w:rsid w:val="002B3191"/>
    <w:rsid w:val="002B35A8"/>
    <w:rsid w:val="002B3842"/>
    <w:rsid w:val="002B4CD7"/>
    <w:rsid w:val="002B5535"/>
    <w:rsid w:val="002B5690"/>
    <w:rsid w:val="002B5839"/>
    <w:rsid w:val="002B5A0E"/>
    <w:rsid w:val="002B64B2"/>
    <w:rsid w:val="002B6622"/>
    <w:rsid w:val="002B709F"/>
    <w:rsid w:val="002B7469"/>
    <w:rsid w:val="002B763C"/>
    <w:rsid w:val="002B7A52"/>
    <w:rsid w:val="002B7ADD"/>
    <w:rsid w:val="002C0369"/>
    <w:rsid w:val="002C055C"/>
    <w:rsid w:val="002C09C9"/>
    <w:rsid w:val="002C0A8D"/>
    <w:rsid w:val="002C0C9E"/>
    <w:rsid w:val="002C1181"/>
    <w:rsid w:val="002C1612"/>
    <w:rsid w:val="002C16CB"/>
    <w:rsid w:val="002C20EB"/>
    <w:rsid w:val="002C2814"/>
    <w:rsid w:val="002C343E"/>
    <w:rsid w:val="002C359A"/>
    <w:rsid w:val="002C4220"/>
    <w:rsid w:val="002C4311"/>
    <w:rsid w:val="002C4C49"/>
    <w:rsid w:val="002C4E4F"/>
    <w:rsid w:val="002C5330"/>
    <w:rsid w:val="002C54E0"/>
    <w:rsid w:val="002C5C14"/>
    <w:rsid w:val="002C658A"/>
    <w:rsid w:val="002C75B3"/>
    <w:rsid w:val="002C78DA"/>
    <w:rsid w:val="002C7F4E"/>
    <w:rsid w:val="002D0EEF"/>
    <w:rsid w:val="002D1852"/>
    <w:rsid w:val="002D19AD"/>
    <w:rsid w:val="002D2612"/>
    <w:rsid w:val="002D2DD6"/>
    <w:rsid w:val="002D34AB"/>
    <w:rsid w:val="002D351D"/>
    <w:rsid w:val="002D3951"/>
    <w:rsid w:val="002D4E8A"/>
    <w:rsid w:val="002D62DF"/>
    <w:rsid w:val="002D631E"/>
    <w:rsid w:val="002D67F2"/>
    <w:rsid w:val="002D7019"/>
    <w:rsid w:val="002D711A"/>
    <w:rsid w:val="002D71DB"/>
    <w:rsid w:val="002D7336"/>
    <w:rsid w:val="002D77E1"/>
    <w:rsid w:val="002E0863"/>
    <w:rsid w:val="002E119C"/>
    <w:rsid w:val="002E17CE"/>
    <w:rsid w:val="002E18AB"/>
    <w:rsid w:val="002E19B9"/>
    <w:rsid w:val="002E289E"/>
    <w:rsid w:val="002E3396"/>
    <w:rsid w:val="002E346B"/>
    <w:rsid w:val="002E3C22"/>
    <w:rsid w:val="002E4BCE"/>
    <w:rsid w:val="002E4C2E"/>
    <w:rsid w:val="002E4E2F"/>
    <w:rsid w:val="002E4F1C"/>
    <w:rsid w:val="002E5332"/>
    <w:rsid w:val="002E59AA"/>
    <w:rsid w:val="002E6115"/>
    <w:rsid w:val="002E63F6"/>
    <w:rsid w:val="002E6575"/>
    <w:rsid w:val="002E68F6"/>
    <w:rsid w:val="002E6C42"/>
    <w:rsid w:val="002E6F2E"/>
    <w:rsid w:val="002E6F33"/>
    <w:rsid w:val="002E71BF"/>
    <w:rsid w:val="002E7272"/>
    <w:rsid w:val="002E7394"/>
    <w:rsid w:val="002E77BA"/>
    <w:rsid w:val="002E77F8"/>
    <w:rsid w:val="002E793E"/>
    <w:rsid w:val="002F04FB"/>
    <w:rsid w:val="002F0C30"/>
    <w:rsid w:val="002F19D3"/>
    <w:rsid w:val="002F23DC"/>
    <w:rsid w:val="002F2451"/>
    <w:rsid w:val="002F4074"/>
    <w:rsid w:val="002F4925"/>
    <w:rsid w:val="002F5A64"/>
    <w:rsid w:val="002F689A"/>
    <w:rsid w:val="002F6E4E"/>
    <w:rsid w:val="002F75DD"/>
    <w:rsid w:val="002F764F"/>
    <w:rsid w:val="002F7725"/>
    <w:rsid w:val="002F7F59"/>
    <w:rsid w:val="003009DD"/>
    <w:rsid w:val="00300D66"/>
    <w:rsid w:val="00300F7C"/>
    <w:rsid w:val="00301763"/>
    <w:rsid w:val="00301860"/>
    <w:rsid w:val="00301998"/>
    <w:rsid w:val="00301B44"/>
    <w:rsid w:val="00301D4F"/>
    <w:rsid w:val="00301F2A"/>
    <w:rsid w:val="00302E18"/>
    <w:rsid w:val="00303A52"/>
    <w:rsid w:val="003042D2"/>
    <w:rsid w:val="003049AF"/>
    <w:rsid w:val="00305080"/>
    <w:rsid w:val="00305DAC"/>
    <w:rsid w:val="00306B82"/>
    <w:rsid w:val="00306F09"/>
    <w:rsid w:val="0030732E"/>
    <w:rsid w:val="00307459"/>
    <w:rsid w:val="00307977"/>
    <w:rsid w:val="00310213"/>
    <w:rsid w:val="0031149C"/>
    <w:rsid w:val="00312912"/>
    <w:rsid w:val="00312CFD"/>
    <w:rsid w:val="00313BAD"/>
    <w:rsid w:val="003140EE"/>
    <w:rsid w:val="003141AB"/>
    <w:rsid w:val="00314EA0"/>
    <w:rsid w:val="00314FF7"/>
    <w:rsid w:val="00315429"/>
    <w:rsid w:val="00315683"/>
    <w:rsid w:val="003156D9"/>
    <w:rsid w:val="00316160"/>
    <w:rsid w:val="00316476"/>
    <w:rsid w:val="003175C2"/>
    <w:rsid w:val="0031763F"/>
    <w:rsid w:val="003179FA"/>
    <w:rsid w:val="00320049"/>
    <w:rsid w:val="00320610"/>
    <w:rsid w:val="003215E0"/>
    <w:rsid w:val="003215E7"/>
    <w:rsid w:val="00322738"/>
    <w:rsid w:val="003240C0"/>
    <w:rsid w:val="003244B0"/>
    <w:rsid w:val="00324D85"/>
    <w:rsid w:val="0032538E"/>
    <w:rsid w:val="00325448"/>
    <w:rsid w:val="00325DE4"/>
    <w:rsid w:val="00326882"/>
    <w:rsid w:val="00326F24"/>
    <w:rsid w:val="003279A7"/>
    <w:rsid w:val="00330584"/>
    <w:rsid w:val="00330A9A"/>
    <w:rsid w:val="00330E33"/>
    <w:rsid w:val="00331530"/>
    <w:rsid w:val="00331776"/>
    <w:rsid w:val="00331972"/>
    <w:rsid w:val="00331AF8"/>
    <w:rsid w:val="003329DB"/>
    <w:rsid w:val="003330C4"/>
    <w:rsid w:val="00333462"/>
    <w:rsid w:val="00334975"/>
    <w:rsid w:val="003355EF"/>
    <w:rsid w:val="00335EE0"/>
    <w:rsid w:val="00336810"/>
    <w:rsid w:val="0033693E"/>
    <w:rsid w:val="00336E6A"/>
    <w:rsid w:val="00337456"/>
    <w:rsid w:val="00337E0C"/>
    <w:rsid w:val="003417F9"/>
    <w:rsid w:val="00343082"/>
    <w:rsid w:val="003430D9"/>
    <w:rsid w:val="003433E7"/>
    <w:rsid w:val="003437E4"/>
    <w:rsid w:val="00343AFC"/>
    <w:rsid w:val="00343BF4"/>
    <w:rsid w:val="00343C75"/>
    <w:rsid w:val="00344DD7"/>
    <w:rsid w:val="0034542B"/>
    <w:rsid w:val="00345F35"/>
    <w:rsid w:val="00346404"/>
    <w:rsid w:val="00346D07"/>
    <w:rsid w:val="0034720C"/>
    <w:rsid w:val="003477BD"/>
    <w:rsid w:val="00347C94"/>
    <w:rsid w:val="00350A70"/>
    <w:rsid w:val="00350CC2"/>
    <w:rsid w:val="00350D86"/>
    <w:rsid w:val="00350DBA"/>
    <w:rsid w:val="0035193F"/>
    <w:rsid w:val="00352133"/>
    <w:rsid w:val="0035300A"/>
    <w:rsid w:val="003535D7"/>
    <w:rsid w:val="00353625"/>
    <w:rsid w:val="00353AC0"/>
    <w:rsid w:val="00353ED4"/>
    <w:rsid w:val="003544A5"/>
    <w:rsid w:val="00354948"/>
    <w:rsid w:val="00354EA4"/>
    <w:rsid w:val="00355120"/>
    <w:rsid w:val="0035561C"/>
    <w:rsid w:val="003556B7"/>
    <w:rsid w:val="0035581D"/>
    <w:rsid w:val="00355EA2"/>
    <w:rsid w:val="00356524"/>
    <w:rsid w:val="0035689A"/>
    <w:rsid w:val="00356FBC"/>
    <w:rsid w:val="003578ED"/>
    <w:rsid w:val="00357979"/>
    <w:rsid w:val="00357AAF"/>
    <w:rsid w:val="003601C7"/>
    <w:rsid w:val="00360F00"/>
    <w:rsid w:val="00361033"/>
    <w:rsid w:val="00361577"/>
    <w:rsid w:val="003615AA"/>
    <w:rsid w:val="00361661"/>
    <w:rsid w:val="003616FD"/>
    <w:rsid w:val="00361AB9"/>
    <w:rsid w:val="00361CD1"/>
    <w:rsid w:val="003624DD"/>
    <w:rsid w:val="00362523"/>
    <w:rsid w:val="00362A25"/>
    <w:rsid w:val="003631F8"/>
    <w:rsid w:val="0036345A"/>
    <w:rsid w:val="00363C63"/>
    <w:rsid w:val="00364D21"/>
    <w:rsid w:val="00364DE6"/>
    <w:rsid w:val="00365419"/>
    <w:rsid w:val="003656BB"/>
    <w:rsid w:val="003656FF"/>
    <w:rsid w:val="00365A60"/>
    <w:rsid w:val="00366C5C"/>
    <w:rsid w:val="00366C6E"/>
    <w:rsid w:val="00366D00"/>
    <w:rsid w:val="00366E91"/>
    <w:rsid w:val="0036798E"/>
    <w:rsid w:val="00367D9D"/>
    <w:rsid w:val="003700C8"/>
    <w:rsid w:val="003707F4"/>
    <w:rsid w:val="003714EE"/>
    <w:rsid w:val="00371703"/>
    <w:rsid w:val="00371724"/>
    <w:rsid w:val="00371815"/>
    <w:rsid w:val="00371E85"/>
    <w:rsid w:val="00373053"/>
    <w:rsid w:val="00373856"/>
    <w:rsid w:val="003738F6"/>
    <w:rsid w:val="00373CC2"/>
    <w:rsid w:val="003740A9"/>
    <w:rsid w:val="00374526"/>
    <w:rsid w:val="00374E40"/>
    <w:rsid w:val="003753FD"/>
    <w:rsid w:val="00375DC3"/>
    <w:rsid w:val="0037630F"/>
    <w:rsid w:val="00376743"/>
    <w:rsid w:val="0037744C"/>
    <w:rsid w:val="00380F0B"/>
    <w:rsid w:val="00381057"/>
    <w:rsid w:val="003811A4"/>
    <w:rsid w:val="0038126F"/>
    <w:rsid w:val="00381371"/>
    <w:rsid w:val="00381859"/>
    <w:rsid w:val="00381EF4"/>
    <w:rsid w:val="00381FE8"/>
    <w:rsid w:val="0038255F"/>
    <w:rsid w:val="00382925"/>
    <w:rsid w:val="00382969"/>
    <w:rsid w:val="00382E01"/>
    <w:rsid w:val="00382F6D"/>
    <w:rsid w:val="003830ED"/>
    <w:rsid w:val="003831F0"/>
    <w:rsid w:val="0038324C"/>
    <w:rsid w:val="00384AF0"/>
    <w:rsid w:val="00384E69"/>
    <w:rsid w:val="00385C2F"/>
    <w:rsid w:val="00386009"/>
    <w:rsid w:val="00386383"/>
    <w:rsid w:val="00386646"/>
    <w:rsid w:val="00387639"/>
    <w:rsid w:val="0038771C"/>
    <w:rsid w:val="00387FCC"/>
    <w:rsid w:val="00391117"/>
    <w:rsid w:val="003911A1"/>
    <w:rsid w:val="003913BF"/>
    <w:rsid w:val="00391EFB"/>
    <w:rsid w:val="00392030"/>
    <w:rsid w:val="003924F3"/>
    <w:rsid w:val="00392A8F"/>
    <w:rsid w:val="00392D2E"/>
    <w:rsid w:val="00393EF2"/>
    <w:rsid w:val="0039405B"/>
    <w:rsid w:val="00394449"/>
    <w:rsid w:val="00394FB6"/>
    <w:rsid w:val="00394FC6"/>
    <w:rsid w:val="00396359"/>
    <w:rsid w:val="00396F84"/>
    <w:rsid w:val="00397EB0"/>
    <w:rsid w:val="00397F23"/>
    <w:rsid w:val="003A01BD"/>
    <w:rsid w:val="003A01C5"/>
    <w:rsid w:val="003A085E"/>
    <w:rsid w:val="003A0EB2"/>
    <w:rsid w:val="003A0F1A"/>
    <w:rsid w:val="003A17FD"/>
    <w:rsid w:val="003A1B30"/>
    <w:rsid w:val="003A1B57"/>
    <w:rsid w:val="003A1C92"/>
    <w:rsid w:val="003A2135"/>
    <w:rsid w:val="003A21B0"/>
    <w:rsid w:val="003A277C"/>
    <w:rsid w:val="003A3330"/>
    <w:rsid w:val="003A3416"/>
    <w:rsid w:val="003A3A36"/>
    <w:rsid w:val="003A3D6A"/>
    <w:rsid w:val="003A4275"/>
    <w:rsid w:val="003A44EC"/>
    <w:rsid w:val="003A4807"/>
    <w:rsid w:val="003A532B"/>
    <w:rsid w:val="003A541A"/>
    <w:rsid w:val="003A557B"/>
    <w:rsid w:val="003A6923"/>
    <w:rsid w:val="003A6E38"/>
    <w:rsid w:val="003A7764"/>
    <w:rsid w:val="003A7B72"/>
    <w:rsid w:val="003A7D48"/>
    <w:rsid w:val="003A7E50"/>
    <w:rsid w:val="003B0413"/>
    <w:rsid w:val="003B0D67"/>
    <w:rsid w:val="003B1C81"/>
    <w:rsid w:val="003B29E8"/>
    <w:rsid w:val="003B2CC8"/>
    <w:rsid w:val="003B3214"/>
    <w:rsid w:val="003B39BE"/>
    <w:rsid w:val="003B3B63"/>
    <w:rsid w:val="003B3E45"/>
    <w:rsid w:val="003B405B"/>
    <w:rsid w:val="003B445A"/>
    <w:rsid w:val="003B4532"/>
    <w:rsid w:val="003B4660"/>
    <w:rsid w:val="003B5568"/>
    <w:rsid w:val="003B574F"/>
    <w:rsid w:val="003B58FF"/>
    <w:rsid w:val="003B5C3D"/>
    <w:rsid w:val="003B5EB3"/>
    <w:rsid w:val="003B6E1C"/>
    <w:rsid w:val="003B78AA"/>
    <w:rsid w:val="003B7D21"/>
    <w:rsid w:val="003C0235"/>
    <w:rsid w:val="003C0252"/>
    <w:rsid w:val="003C133C"/>
    <w:rsid w:val="003C1467"/>
    <w:rsid w:val="003C19E7"/>
    <w:rsid w:val="003C2880"/>
    <w:rsid w:val="003C29F6"/>
    <w:rsid w:val="003C2C67"/>
    <w:rsid w:val="003C2EA2"/>
    <w:rsid w:val="003C380D"/>
    <w:rsid w:val="003C3910"/>
    <w:rsid w:val="003C3F6D"/>
    <w:rsid w:val="003C40FD"/>
    <w:rsid w:val="003C45C8"/>
    <w:rsid w:val="003C477F"/>
    <w:rsid w:val="003C5BA4"/>
    <w:rsid w:val="003C6AFD"/>
    <w:rsid w:val="003C7747"/>
    <w:rsid w:val="003C7776"/>
    <w:rsid w:val="003D0F45"/>
    <w:rsid w:val="003D0FD6"/>
    <w:rsid w:val="003D130A"/>
    <w:rsid w:val="003D1401"/>
    <w:rsid w:val="003D1535"/>
    <w:rsid w:val="003D193E"/>
    <w:rsid w:val="003D3433"/>
    <w:rsid w:val="003D355F"/>
    <w:rsid w:val="003D36CF"/>
    <w:rsid w:val="003D3BAA"/>
    <w:rsid w:val="003D4097"/>
    <w:rsid w:val="003D42D5"/>
    <w:rsid w:val="003D4943"/>
    <w:rsid w:val="003D55A2"/>
    <w:rsid w:val="003D5CA4"/>
    <w:rsid w:val="003D6376"/>
    <w:rsid w:val="003D63E3"/>
    <w:rsid w:val="003D6846"/>
    <w:rsid w:val="003D6DAD"/>
    <w:rsid w:val="003D70C0"/>
    <w:rsid w:val="003D7203"/>
    <w:rsid w:val="003D7274"/>
    <w:rsid w:val="003D7A22"/>
    <w:rsid w:val="003E06D5"/>
    <w:rsid w:val="003E0E5F"/>
    <w:rsid w:val="003E133D"/>
    <w:rsid w:val="003E24B8"/>
    <w:rsid w:val="003E2FDB"/>
    <w:rsid w:val="003E3507"/>
    <w:rsid w:val="003E3E26"/>
    <w:rsid w:val="003E5F89"/>
    <w:rsid w:val="003E6155"/>
    <w:rsid w:val="003E7689"/>
    <w:rsid w:val="003E786B"/>
    <w:rsid w:val="003E7A42"/>
    <w:rsid w:val="003E7AC6"/>
    <w:rsid w:val="003E7C3E"/>
    <w:rsid w:val="003F01F6"/>
    <w:rsid w:val="003F09F5"/>
    <w:rsid w:val="003F0FE3"/>
    <w:rsid w:val="003F1105"/>
    <w:rsid w:val="003F1295"/>
    <w:rsid w:val="003F16A9"/>
    <w:rsid w:val="003F1B08"/>
    <w:rsid w:val="003F362B"/>
    <w:rsid w:val="003F3CF2"/>
    <w:rsid w:val="003F41CF"/>
    <w:rsid w:val="003F43AA"/>
    <w:rsid w:val="003F4B92"/>
    <w:rsid w:val="003F5065"/>
    <w:rsid w:val="003F51A4"/>
    <w:rsid w:val="003F5952"/>
    <w:rsid w:val="003F6053"/>
    <w:rsid w:val="003F68D1"/>
    <w:rsid w:val="003F76FC"/>
    <w:rsid w:val="003F7797"/>
    <w:rsid w:val="003F7AF6"/>
    <w:rsid w:val="004002EB"/>
    <w:rsid w:val="004006AC"/>
    <w:rsid w:val="004010E2"/>
    <w:rsid w:val="00401537"/>
    <w:rsid w:val="00401B15"/>
    <w:rsid w:val="00401DB2"/>
    <w:rsid w:val="00402235"/>
    <w:rsid w:val="004028AF"/>
    <w:rsid w:val="0040316B"/>
    <w:rsid w:val="00403C89"/>
    <w:rsid w:val="0040410E"/>
    <w:rsid w:val="00404945"/>
    <w:rsid w:val="004052A3"/>
    <w:rsid w:val="00405839"/>
    <w:rsid w:val="00405C57"/>
    <w:rsid w:val="00406E44"/>
    <w:rsid w:val="0040742A"/>
    <w:rsid w:val="00407E62"/>
    <w:rsid w:val="00410D16"/>
    <w:rsid w:val="00410D6D"/>
    <w:rsid w:val="004118AE"/>
    <w:rsid w:val="00412103"/>
    <w:rsid w:val="00412538"/>
    <w:rsid w:val="004125F4"/>
    <w:rsid w:val="004134A7"/>
    <w:rsid w:val="00413528"/>
    <w:rsid w:val="00413731"/>
    <w:rsid w:val="00413BE5"/>
    <w:rsid w:val="00413C5B"/>
    <w:rsid w:val="00414FEF"/>
    <w:rsid w:val="00415D71"/>
    <w:rsid w:val="0041624F"/>
    <w:rsid w:val="0041689E"/>
    <w:rsid w:val="00416F67"/>
    <w:rsid w:val="004177ED"/>
    <w:rsid w:val="0042013B"/>
    <w:rsid w:val="0042113B"/>
    <w:rsid w:val="0042135B"/>
    <w:rsid w:val="0042161A"/>
    <w:rsid w:val="00421F97"/>
    <w:rsid w:val="0042234D"/>
    <w:rsid w:val="0042251C"/>
    <w:rsid w:val="00422FCB"/>
    <w:rsid w:val="004236C8"/>
    <w:rsid w:val="00423CA0"/>
    <w:rsid w:val="004246F3"/>
    <w:rsid w:val="004249A3"/>
    <w:rsid w:val="004255E3"/>
    <w:rsid w:val="00425BF3"/>
    <w:rsid w:val="00425C17"/>
    <w:rsid w:val="00425E66"/>
    <w:rsid w:val="00427010"/>
    <w:rsid w:val="00427681"/>
    <w:rsid w:val="00430074"/>
    <w:rsid w:val="0043045F"/>
    <w:rsid w:val="00431A8D"/>
    <w:rsid w:val="00431B75"/>
    <w:rsid w:val="00432591"/>
    <w:rsid w:val="00432F78"/>
    <w:rsid w:val="0043308C"/>
    <w:rsid w:val="00433752"/>
    <w:rsid w:val="00433980"/>
    <w:rsid w:val="00433DB7"/>
    <w:rsid w:val="00434284"/>
    <w:rsid w:val="004347B1"/>
    <w:rsid w:val="00434F94"/>
    <w:rsid w:val="0043528A"/>
    <w:rsid w:val="00435ACF"/>
    <w:rsid w:val="004369A0"/>
    <w:rsid w:val="004375AB"/>
    <w:rsid w:val="00440249"/>
    <w:rsid w:val="00440482"/>
    <w:rsid w:val="00440869"/>
    <w:rsid w:val="0044094F"/>
    <w:rsid w:val="00440EA7"/>
    <w:rsid w:val="00441123"/>
    <w:rsid w:val="00441571"/>
    <w:rsid w:val="00441E2D"/>
    <w:rsid w:val="00442138"/>
    <w:rsid w:val="004421D9"/>
    <w:rsid w:val="004423C8"/>
    <w:rsid w:val="00442A80"/>
    <w:rsid w:val="004435C2"/>
    <w:rsid w:val="00443B21"/>
    <w:rsid w:val="004447E4"/>
    <w:rsid w:val="00444B51"/>
    <w:rsid w:val="00444D60"/>
    <w:rsid w:val="00445693"/>
    <w:rsid w:val="00445DE5"/>
    <w:rsid w:val="00445E00"/>
    <w:rsid w:val="00446A16"/>
    <w:rsid w:val="00446C87"/>
    <w:rsid w:val="004471D2"/>
    <w:rsid w:val="00447EEA"/>
    <w:rsid w:val="0045028C"/>
    <w:rsid w:val="00450A15"/>
    <w:rsid w:val="00450BDB"/>
    <w:rsid w:val="00450FE8"/>
    <w:rsid w:val="004511C8"/>
    <w:rsid w:val="00451249"/>
    <w:rsid w:val="004516DA"/>
    <w:rsid w:val="00451B8D"/>
    <w:rsid w:val="00451D25"/>
    <w:rsid w:val="0045208F"/>
    <w:rsid w:val="004520F2"/>
    <w:rsid w:val="004521FA"/>
    <w:rsid w:val="00452EFC"/>
    <w:rsid w:val="0045336D"/>
    <w:rsid w:val="00453750"/>
    <w:rsid w:val="004539CD"/>
    <w:rsid w:val="0045458C"/>
    <w:rsid w:val="00454A40"/>
    <w:rsid w:val="00454E80"/>
    <w:rsid w:val="00455712"/>
    <w:rsid w:val="00455ABB"/>
    <w:rsid w:val="00456941"/>
    <w:rsid w:val="00456B74"/>
    <w:rsid w:val="00457FF8"/>
    <w:rsid w:val="00461701"/>
    <w:rsid w:val="00462531"/>
    <w:rsid w:val="004627E2"/>
    <w:rsid w:val="004630E4"/>
    <w:rsid w:val="0046434F"/>
    <w:rsid w:val="004650C2"/>
    <w:rsid w:val="0046549D"/>
    <w:rsid w:val="0046553C"/>
    <w:rsid w:val="004656E2"/>
    <w:rsid w:val="00465906"/>
    <w:rsid w:val="00465B9B"/>
    <w:rsid w:val="004669E3"/>
    <w:rsid w:val="00466C7C"/>
    <w:rsid w:val="00466F57"/>
    <w:rsid w:val="00467395"/>
    <w:rsid w:val="004675DE"/>
    <w:rsid w:val="00467A2C"/>
    <w:rsid w:val="00467D0C"/>
    <w:rsid w:val="004702EA"/>
    <w:rsid w:val="00470538"/>
    <w:rsid w:val="00471254"/>
    <w:rsid w:val="0047183F"/>
    <w:rsid w:val="0047191D"/>
    <w:rsid w:val="004719FF"/>
    <w:rsid w:val="00471C39"/>
    <w:rsid w:val="00471E13"/>
    <w:rsid w:val="00472001"/>
    <w:rsid w:val="00472255"/>
    <w:rsid w:val="004729BC"/>
    <w:rsid w:val="00472A16"/>
    <w:rsid w:val="00472AD2"/>
    <w:rsid w:val="00472C63"/>
    <w:rsid w:val="00472D83"/>
    <w:rsid w:val="0047318D"/>
    <w:rsid w:val="00473467"/>
    <w:rsid w:val="004734D4"/>
    <w:rsid w:val="00474817"/>
    <w:rsid w:val="00474BAA"/>
    <w:rsid w:val="004752B2"/>
    <w:rsid w:val="00476F4D"/>
    <w:rsid w:val="00477A2E"/>
    <w:rsid w:val="00477C9D"/>
    <w:rsid w:val="004807AA"/>
    <w:rsid w:val="00480BAC"/>
    <w:rsid w:val="004816FE"/>
    <w:rsid w:val="00482D02"/>
    <w:rsid w:val="00482D04"/>
    <w:rsid w:val="00483553"/>
    <w:rsid w:val="00484AD9"/>
    <w:rsid w:val="004850D3"/>
    <w:rsid w:val="0048586E"/>
    <w:rsid w:val="00485930"/>
    <w:rsid w:val="00485A39"/>
    <w:rsid w:val="00485E05"/>
    <w:rsid w:val="00485F65"/>
    <w:rsid w:val="00486659"/>
    <w:rsid w:val="00486D11"/>
    <w:rsid w:val="00487433"/>
    <w:rsid w:val="004878D9"/>
    <w:rsid w:val="004879F0"/>
    <w:rsid w:val="00490370"/>
    <w:rsid w:val="004906B0"/>
    <w:rsid w:val="00490BCE"/>
    <w:rsid w:val="00491C84"/>
    <w:rsid w:val="0049274B"/>
    <w:rsid w:val="004927E0"/>
    <w:rsid w:val="00492869"/>
    <w:rsid w:val="00493137"/>
    <w:rsid w:val="00493295"/>
    <w:rsid w:val="004937EF"/>
    <w:rsid w:val="00493A3C"/>
    <w:rsid w:val="004940C0"/>
    <w:rsid w:val="00495375"/>
    <w:rsid w:val="004957C2"/>
    <w:rsid w:val="00495E6E"/>
    <w:rsid w:val="00496B42"/>
    <w:rsid w:val="00496D97"/>
    <w:rsid w:val="00497277"/>
    <w:rsid w:val="00497735"/>
    <w:rsid w:val="00497CDE"/>
    <w:rsid w:val="00497D20"/>
    <w:rsid w:val="004A02CE"/>
    <w:rsid w:val="004A0AEB"/>
    <w:rsid w:val="004A18B8"/>
    <w:rsid w:val="004A2001"/>
    <w:rsid w:val="004A28C8"/>
    <w:rsid w:val="004A296C"/>
    <w:rsid w:val="004A2D7E"/>
    <w:rsid w:val="004A3363"/>
    <w:rsid w:val="004A3457"/>
    <w:rsid w:val="004A36AC"/>
    <w:rsid w:val="004A39BE"/>
    <w:rsid w:val="004A3D3B"/>
    <w:rsid w:val="004A4139"/>
    <w:rsid w:val="004A46DA"/>
    <w:rsid w:val="004A53B4"/>
    <w:rsid w:val="004A53BA"/>
    <w:rsid w:val="004A5793"/>
    <w:rsid w:val="004A58C7"/>
    <w:rsid w:val="004A5BEA"/>
    <w:rsid w:val="004A5E21"/>
    <w:rsid w:val="004A7519"/>
    <w:rsid w:val="004A7E93"/>
    <w:rsid w:val="004B043A"/>
    <w:rsid w:val="004B08E9"/>
    <w:rsid w:val="004B09A2"/>
    <w:rsid w:val="004B0A5D"/>
    <w:rsid w:val="004B0AEF"/>
    <w:rsid w:val="004B14CB"/>
    <w:rsid w:val="004B186E"/>
    <w:rsid w:val="004B19E3"/>
    <w:rsid w:val="004B1E8E"/>
    <w:rsid w:val="004B208F"/>
    <w:rsid w:val="004B2257"/>
    <w:rsid w:val="004B2B88"/>
    <w:rsid w:val="004B3323"/>
    <w:rsid w:val="004B3818"/>
    <w:rsid w:val="004B4067"/>
    <w:rsid w:val="004B40E9"/>
    <w:rsid w:val="004B41CA"/>
    <w:rsid w:val="004B42CB"/>
    <w:rsid w:val="004B4F44"/>
    <w:rsid w:val="004B5309"/>
    <w:rsid w:val="004B7433"/>
    <w:rsid w:val="004B7783"/>
    <w:rsid w:val="004C025C"/>
    <w:rsid w:val="004C05DE"/>
    <w:rsid w:val="004C1A8C"/>
    <w:rsid w:val="004C1B76"/>
    <w:rsid w:val="004C1D44"/>
    <w:rsid w:val="004C1EF2"/>
    <w:rsid w:val="004C256E"/>
    <w:rsid w:val="004C3A94"/>
    <w:rsid w:val="004C4055"/>
    <w:rsid w:val="004C435B"/>
    <w:rsid w:val="004C55DD"/>
    <w:rsid w:val="004C580B"/>
    <w:rsid w:val="004C6888"/>
    <w:rsid w:val="004C7314"/>
    <w:rsid w:val="004D01D8"/>
    <w:rsid w:val="004D0474"/>
    <w:rsid w:val="004D0C86"/>
    <w:rsid w:val="004D1385"/>
    <w:rsid w:val="004D1F1A"/>
    <w:rsid w:val="004D26D2"/>
    <w:rsid w:val="004D2CDF"/>
    <w:rsid w:val="004D3518"/>
    <w:rsid w:val="004D3544"/>
    <w:rsid w:val="004D3A0F"/>
    <w:rsid w:val="004D3E1F"/>
    <w:rsid w:val="004D4273"/>
    <w:rsid w:val="004D48E9"/>
    <w:rsid w:val="004D4D54"/>
    <w:rsid w:val="004D5424"/>
    <w:rsid w:val="004D62D6"/>
    <w:rsid w:val="004D6A5E"/>
    <w:rsid w:val="004D6A90"/>
    <w:rsid w:val="004D6FEB"/>
    <w:rsid w:val="004D7494"/>
    <w:rsid w:val="004D7914"/>
    <w:rsid w:val="004E026A"/>
    <w:rsid w:val="004E1075"/>
    <w:rsid w:val="004E1C24"/>
    <w:rsid w:val="004E1D51"/>
    <w:rsid w:val="004E1EE3"/>
    <w:rsid w:val="004E2093"/>
    <w:rsid w:val="004E20ED"/>
    <w:rsid w:val="004E2298"/>
    <w:rsid w:val="004E262E"/>
    <w:rsid w:val="004E2D95"/>
    <w:rsid w:val="004E326F"/>
    <w:rsid w:val="004E425E"/>
    <w:rsid w:val="004E42B8"/>
    <w:rsid w:val="004E47F0"/>
    <w:rsid w:val="004E4C38"/>
    <w:rsid w:val="004E4C96"/>
    <w:rsid w:val="004E5BD1"/>
    <w:rsid w:val="004E6793"/>
    <w:rsid w:val="004E6CBD"/>
    <w:rsid w:val="004F0373"/>
    <w:rsid w:val="004F0529"/>
    <w:rsid w:val="004F0D80"/>
    <w:rsid w:val="004F11D3"/>
    <w:rsid w:val="004F138E"/>
    <w:rsid w:val="004F14A1"/>
    <w:rsid w:val="004F1C4F"/>
    <w:rsid w:val="004F203C"/>
    <w:rsid w:val="004F27BF"/>
    <w:rsid w:val="004F2FA3"/>
    <w:rsid w:val="004F3070"/>
    <w:rsid w:val="004F331D"/>
    <w:rsid w:val="004F38B5"/>
    <w:rsid w:val="004F4B6C"/>
    <w:rsid w:val="004F4F15"/>
    <w:rsid w:val="004F51BD"/>
    <w:rsid w:val="004F543C"/>
    <w:rsid w:val="004F5D9B"/>
    <w:rsid w:val="004F60DB"/>
    <w:rsid w:val="004F62EC"/>
    <w:rsid w:val="004F6B8E"/>
    <w:rsid w:val="004F6BB0"/>
    <w:rsid w:val="004F7F2A"/>
    <w:rsid w:val="005000D8"/>
    <w:rsid w:val="00500296"/>
    <w:rsid w:val="00500671"/>
    <w:rsid w:val="005019DB"/>
    <w:rsid w:val="00501C9C"/>
    <w:rsid w:val="0050251D"/>
    <w:rsid w:val="00502872"/>
    <w:rsid w:val="00503EBE"/>
    <w:rsid w:val="005041CC"/>
    <w:rsid w:val="00504821"/>
    <w:rsid w:val="005049F3"/>
    <w:rsid w:val="00504A3E"/>
    <w:rsid w:val="005055DB"/>
    <w:rsid w:val="005056B3"/>
    <w:rsid w:val="0050656E"/>
    <w:rsid w:val="00506C85"/>
    <w:rsid w:val="00506F7C"/>
    <w:rsid w:val="00507214"/>
    <w:rsid w:val="00510398"/>
    <w:rsid w:val="00510D90"/>
    <w:rsid w:val="00510F29"/>
    <w:rsid w:val="005118DE"/>
    <w:rsid w:val="00511A83"/>
    <w:rsid w:val="005134AB"/>
    <w:rsid w:val="00513826"/>
    <w:rsid w:val="00513A03"/>
    <w:rsid w:val="00514270"/>
    <w:rsid w:val="00514876"/>
    <w:rsid w:val="00514F43"/>
    <w:rsid w:val="005152D7"/>
    <w:rsid w:val="00515999"/>
    <w:rsid w:val="0051641C"/>
    <w:rsid w:val="0051655C"/>
    <w:rsid w:val="005174A8"/>
    <w:rsid w:val="0051765B"/>
    <w:rsid w:val="00517C4F"/>
    <w:rsid w:val="00520849"/>
    <w:rsid w:val="00520AAF"/>
    <w:rsid w:val="00520B5E"/>
    <w:rsid w:val="005215D4"/>
    <w:rsid w:val="005222DD"/>
    <w:rsid w:val="0052293F"/>
    <w:rsid w:val="00522F8A"/>
    <w:rsid w:val="0052309E"/>
    <w:rsid w:val="0052362C"/>
    <w:rsid w:val="00524B04"/>
    <w:rsid w:val="00525DF9"/>
    <w:rsid w:val="0052660D"/>
    <w:rsid w:val="0052687B"/>
    <w:rsid w:val="005273EC"/>
    <w:rsid w:val="00527431"/>
    <w:rsid w:val="0052748D"/>
    <w:rsid w:val="00527CDD"/>
    <w:rsid w:val="00527E16"/>
    <w:rsid w:val="005310AA"/>
    <w:rsid w:val="00531661"/>
    <w:rsid w:val="00531D7E"/>
    <w:rsid w:val="005321AA"/>
    <w:rsid w:val="00532AA5"/>
    <w:rsid w:val="00532AD7"/>
    <w:rsid w:val="0053384F"/>
    <w:rsid w:val="0053416C"/>
    <w:rsid w:val="00534740"/>
    <w:rsid w:val="00534A97"/>
    <w:rsid w:val="00534B8A"/>
    <w:rsid w:val="0053646F"/>
    <w:rsid w:val="00536BF3"/>
    <w:rsid w:val="00537948"/>
    <w:rsid w:val="005407E8"/>
    <w:rsid w:val="0054144E"/>
    <w:rsid w:val="00541C2F"/>
    <w:rsid w:val="0054358F"/>
    <w:rsid w:val="00543752"/>
    <w:rsid w:val="00543923"/>
    <w:rsid w:val="00543C4B"/>
    <w:rsid w:val="00544191"/>
    <w:rsid w:val="00544874"/>
    <w:rsid w:val="00544A57"/>
    <w:rsid w:val="00544D06"/>
    <w:rsid w:val="00545079"/>
    <w:rsid w:val="0054513D"/>
    <w:rsid w:val="00545218"/>
    <w:rsid w:val="005457C9"/>
    <w:rsid w:val="00545952"/>
    <w:rsid w:val="005468A6"/>
    <w:rsid w:val="00546993"/>
    <w:rsid w:val="00546AC7"/>
    <w:rsid w:val="00546B39"/>
    <w:rsid w:val="00550449"/>
    <w:rsid w:val="00550C11"/>
    <w:rsid w:val="00550F3B"/>
    <w:rsid w:val="005513D1"/>
    <w:rsid w:val="00552E9B"/>
    <w:rsid w:val="00552F94"/>
    <w:rsid w:val="0055312B"/>
    <w:rsid w:val="00553297"/>
    <w:rsid w:val="00553411"/>
    <w:rsid w:val="0055381E"/>
    <w:rsid w:val="005539AB"/>
    <w:rsid w:val="00554A5C"/>
    <w:rsid w:val="00554F52"/>
    <w:rsid w:val="00555013"/>
    <w:rsid w:val="00555F36"/>
    <w:rsid w:val="0055622F"/>
    <w:rsid w:val="00556BEE"/>
    <w:rsid w:val="005570DA"/>
    <w:rsid w:val="0055758E"/>
    <w:rsid w:val="005577B2"/>
    <w:rsid w:val="00557BA5"/>
    <w:rsid w:val="005604D0"/>
    <w:rsid w:val="00560818"/>
    <w:rsid w:val="00560BDF"/>
    <w:rsid w:val="00562684"/>
    <w:rsid w:val="00562755"/>
    <w:rsid w:val="00562768"/>
    <w:rsid w:val="005628DE"/>
    <w:rsid w:val="00563283"/>
    <w:rsid w:val="00563527"/>
    <w:rsid w:val="00563B0D"/>
    <w:rsid w:val="00564810"/>
    <w:rsid w:val="00564BFC"/>
    <w:rsid w:val="0056599B"/>
    <w:rsid w:val="005664F2"/>
    <w:rsid w:val="005669FA"/>
    <w:rsid w:val="00567ACA"/>
    <w:rsid w:val="00567BC9"/>
    <w:rsid w:val="00567ED8"/>
    <w:rsid w:val="00570172"/>
    <w:rsid w:val="005704CE"/>
    <w:rsid w:val="005705BD"/>
    <w:rsid w:val="00570985"/>
    <w:rsid w:val="00571850"/>
    <w:rsid w:val="0057201C"/>
    <w:rsid w:val="005725D3"/>
    <w:rsid w:val="00572E28"/>
    <w:rsid w:val="00573883"/>
    <w:rsid w:val="00574393"/>
    <w:rsid w:val="0057499F"/>
    <w:rsid w:val="00575A90"/>
    <w:rsid w:val="00575C0B"/>
    <w:rsid w:val="0057643F"/>
    <w:rsid w:val="00576684"/>
    <w:rsid w:val="0058037A"/>
    <w:rsid w:val="0058119F"/>
    <w:rsid w:val="0058124E"/>
    <w:rsid w:val="00582883"/>
    <w:rsid w:val="005831D9"/>
    <w:rsid w:val="00583F62"/>
    <w:rsid w:val="00584301"/>
    <w:rsid w:val="0058499C"/>
    <w:rsid w:val="00584C50"/>
    <w:rsid w:val="00584C62"/>
    <w:rsid w:val="00584F6C"/>
    <w:rsid w:val="00585043"/>
    <w:rsid w:val="0058546F"/>
    <w:rsid w:val="00585CA1"/>
    <w:rsid w:val="0058685E"/>
    <w:rsid w:val="00586A19"/>
    <w:rsid w:val="00586D15"/>
    <w:rsid w:val="005871FD"/>
    <w:rsid w:val="005875A3"/>
    <w:rsid w:val="0058779F"/>
    <w:rsid w:val="00587C60"/>
    <w:rsid w:val="005913DA"/>
    <w:rsid w:val="0059285A"/>
    <w:rsid w:val="00592D33"/>
    <w:rsid w:val="00593F0B"/>
    <w:rsid w:val="005941CB"/>
    <w:rsid w:val="00594698"/>
    <w:rsid w:val="00594ECA"/>
    <w:rsid w:val="005958C9"/>
    <w:rsid w:val="00595C4A"/>
    <w:rsid w:val="00595D98"/>
    <w:rsid w:val="00596315"/>
    <w:rsid w:val="00596507"/>
    <w:rsid w:val="00597200"/>
    <w:rsid w:val="0059721F"/>
    <w:rsid w:val="00597950"/>
    <w:rsid w:val="00597AE7"/>
    <w:rsid w:val="00597B00"/>
    <w:rsid w:val="005A017B"/>
    <w:rsid w:val="005A0212"/>
    <w:rsid w:val="005A08B6"/>
    <w:rsid w:val="005A0ADD"/>
    <w:rsid w:val="005A0F99"/>
    <w:rsid w:val="005A10B4"/>
    <w:rsid w:val="005A1647"/>
    <w:rsid w:val="005A2F44"/>
    <w:rsid w:val="005A2FA7"/>
    <w:rsid w:val="005A3416"/>
    <w:rsid w:val="005A3438"/>
    <w:rsid w:val="005A371B"/>
    <w:rsid w:val="005A3C48"/>
    <w:rsid w:val="005A3FFB"/>
    <w:rsid w:val="005A4897"/>
    <w:rsid w:val="005A4BB4"/>
    <w:rsid w:val="005A4DA8"/>
    <w:rsid w:val="005A557F"/>
    <w:rsid w:val="005A57E5"/>
    <w:rsid w:val="005A65AF"/>
    <w:rsid w:val="005A6DFB"/>
    <w:rsid w:val="005A70E0"/>
    <w:rsid w:val="005A7439"/>
    <w:rsid w:val="005A7753"/>
    <w:rsid w:val="005B00C1"/>
    <w:rsid w:val="005B04B0"/>
    <w:rsid w:val="005B1023"/>
    <w:rsid w:val="005B10AD"/>
    <w:rsid w:val="005B27FE"/>
    <w:rsid w:val="005B280E"/>
    <w:rsid w:val="005B2997"/>
    <w:rsid w:val="005B3A17"/>
    <w:rsid w:val="005B3FFE"/>
    <w:rsid w:val="005B4F4B"/>
    <w:rsid w:val="005B5605"/>
    <w:rsid w:val="005B5F4F"/>
    <w:rsid w:val="005B6CC5"/>
    <w:rsid w:val="005B6D8F"/>
    <w:rsid w:val="005B7003"/>
    <w:rsid w:val="005B7503"/>
    <w:rsid w:val="005B7F55"/>
    <w:rsid w:val="005C0183"/>
    <w:rsid w:val="005C0D1F"/>
    <w:rsid w:val="005C1108"/>
    <w:rsid w:val="005C1216"/>
    <w:rsid w:val="005C1681"/>
    <w:rsid w:val="005C23E7"/>
    <w:rsid w:val="005C30EE"/>
    <w:rsid w:val="005C3AB0"/>
    <w:rsid w:val="005C3D7C"/>
    <w:rsid w:val="005C3E6D"/>
    <w:rsid w:val="005C40EB"/>
    <w:rsid w:val="005C4509"/>
    <w:rsid w:val="005C462E"/>
    <w:rsid w:val="005C488D"/>
    <w:rsid w:val="005C5165"/>
    <w:rsid w:val="005C53D5"/>
    <w:rsid w:val="005C5DD1"/>
    <w:rsid w:val="005C63FF"/>
    <w:rsid w:val="005C694C"/>
    <w:rsid w:val="005C6B12"/>
    <w:rsid w:val="005C7406"/>
    <w:rsid w:val="005C7CF6"/>
    <w:rsid w:val="005D0027"/>
    <w:rsid w:val="005D016A"/>
    <w:rsid w:val="005D0F3E"/>
    <w:rsid w:val="005D11B5"/>
    <w:rsid w:val="005D1354"/>
    <w:rsid w:val="005D1760"/>
    <w:rsid w:val="005D22BA"/>
    <w:rsid w:val="005D245B"/>
    <w:rsid w:val="005D41BD"/>
    <w:rsid w:val="005D4B48"/>
    <w:rsid w:val="005D4E93"/>
    <w:rsid w:val="005D5516"/>
    <w:rsid w:val="005D5ACC"/>
    <w:rsid w:val="005D6C4F"/>
    <w:rsid w:val="005D6E9C"/>
    <w:rsid w:val="005D79F3"/>
    <w:rsid w:val="005E06A6"/>
    <w:rsid w:val="005E1411"/>
    <w:rsid w:val="005E1A85"/>
    <w:rsid w:val="005E1BE6"/>
    <w:rsid w:val="005E1D8E"/>
    <w:rsid w:val="005E1E41"/>
    <w:rsid w:val="005E268B"/>
    <w:rsid w:val="005E31BC"/>
    <w:rsid w:val="005E3258"/>
    <w:rsid w:val="005E4D03"/>
    <w:rsid w:val="005E4D4D"/>
    <w:rsid w:val="005E5650"/>
    <w:rsid w:val="005E5FCE"/>
    <w:rsid w:val="005E65E8"/>
    <w:rsid w:val="005E675E"/>
    <w:rsid w:val="005E6D9E"/>
    <w:rsid w:val="005E7A9F"/>
    <w:rsid w:val="005F0444"/>
    <w:rsid w:val="005F063F"/>
    <w:rsid w:val="005F1DEF"/>
    <w:rsid w:val="005F25A4"/>
    <w:rsid w:val="005F25DE"/>
    <w:rsid w:val="005F26F8"/>
    <w:rsid w:val="005F2A07"/>
    <w:rsid w:val="005F2DA0"/>
    <w:rsid w:val="005F2F5F"/>
    <w:rsid w:val="005F331D"/>
    <w:rsid w:val="005F3623"/>
    <w:rsid w:val="005F3B57"/>
    <w:rsid w:val="005F3C99"/>
    <w:rsid w:val="005F3D92"/>
    <w:rsid w:val="005F420C"/>
    <w:rsid w:val="005F4C9D"/>
    <w:rsid w:val="005F61DF"/>
    <w:rsid w:val="005F6A4F"/>
    <w:rsid w:val="005F6C18"/>
    <w:rsid w:val="00600743"/>
    <w:rsid w:val="00600F1F"/>
    <w:rsid w:val="006010EF"/>
    <w:rsid w:val="0060156F"/>
    <w:rsid w:val="00601951"/>
    <w:rsid w:val="006019BB"/>
    <w:rsid w:val="006023F9"/>
    <w:rsid w:val="00602B42"/>
    <w:rsid w:val="00602F8E"/>
    <w:rsid w:val="00603381"/>
    <w:rsid w:val="00603B08"/>
    <w:rsid w:val="006044D3"/>
    <w:rsid w:val="00604553"/>
    <w:rsid w:val="00604AA4"/>
    <w:rsid w:val="0060532B"/>
    <w:rsid w:val="00605B48"/>
    <w:rsid w:val="00605E5C"/>
    <w:rsid w:val="00606314"/>
    <w:rsid w:val="00606950"/>
    <w:rsid w:val="00606BD5"/>
    <w:rsid w:val="00606FC6"/>
    <w:rsid w:val="00607380"/>
    <w:rsid w:val="006076C3"/>
    <w:rsid w:val="006078BE"/>
    <w:rsid w:val="00607BE8"/>
    <w:rsid w:val="00610559"/>
    <w:rsid w:val="00610B75"/>
    <w:rsid w:val="00610C7E"/>
    <w:rsid w:val="00611626"/>
    <w:rsid w:val="00612DFB"/>
    <w:rsid w:val="006138D7"/>
    <w:rsid w:val="006139C3"/>
    <w:rsid w:val="00613D62"/>
    <w:rsid w:val="006153E0"/>
    <w:rsid w:val="00615BA5"/>
    <w:rsid w:val="006164D3"/>
    <w:rsid w:val="00616A55"/>
    <w:rsid w:val="0061704C"/>
    <w:rsid w:val="00617201"/>
    <w:rsid w:val="0062034C"/>
    <w:rsid w:val="00622309"/>
    <w:rsid w:val="0062242A"/>
    <w:rsid w:val="0062248E"/>
    <w:rsid w:val="0062279B"/>
    <w:rsid w:val="00622886"/>
    <w:rsid w:val="00623334"/>
    <w:rsid w:val="00623438"/>
    <w:rsid w:val="00624054"/>
    <w:rsid w:val="006247B0"/>
    <w:rsid w:val="006248CB"/>
    <w:rsid w:val="00624998"/>
    <w:rsid w:val="00624E68"/>
    <w:rsid w:val="006256D6"/>
    <w:rsid w:val="00625734"/>
    <w:rsid w:val="0062601F"/>
    <w:rsid w:val="006265C5"/>
    <w:rsid w:val="006272DD"/>
    <w:rsid w:val="0062781A"/>
    <w:rsid w:val="006300FD"/>
    <w:rsid w:val="0063081F"/>
    <w:rsid w:val="006309EE"/>
    <w:rsid w:val="00630E00"/>
    <w:rsid w:val="00631112"/>
    <w:rsid w:val="00631167"/>
    <w:rsid w:val="006313D4"/>
    <w:rsid w:val="00631A52"/>
    <w:rsid w:val="00631EA5"/>
    <w:rsid w:val="00632360"/>
    <w:rsid w:val="006332F6"/>
    <w:rsid w:val="00633738"/>
    <w:rsid w:val="00633A8B"/>
    <w:rsid w:val="00633E9A"/>
    <w:rsid w:val="006343DE"/>
    <w:rsid w:val="006356E6"/>
    <w:rsid w:val="006358D3"/>
    <w:rsid w:val="00635DC9"/>
    <w:rsid w:val="006361E7"/>
    <w:rsid w:val="00636792"/>
    <w:rsid w:val="00636B87"/>
    <w:rsid w:val="0063733C"/>
    <w:rsid w:val="00640C0D"/>
    <w:rsid w:val="00640C64"/>
    <w:rsid w:val="00640D34"/>
    <w:rsid w:val="00641028"/>
    <w:rsid w:val="00641096"/>
    <w:rsid w:val="006424F0"/>
    <w:rsid w:val="00642687"/>
    <w:rsid w:val="00643E3F"/>
    <w:rsid w:val="00643E8C"/>
    <w:rsid w:val="0064506D"/>
    <w:rsid w:val="006452DD"/>
    <w:rsid w:val="00645DE2"/>
    <w:rsid w:val="00645F24"/>
    <w:rsid w:val="0064791C"/>
    <w:rsid w:val="00647ABE"/>
    <w:rsid w:val="0065003C"/>
    <w:rsid w:val="0065073E"/>
    <w:rsid w:val="00650B67"/>
    <w:rsid w:val="00650CB0"/>
    <w:rsid w:val="00650FF5"/>
    <w:rsid w:val="006516E1"/>
    <w:rsid w:val="00651A98"/>
    <w:rsid w:val="00651EB2"/>
    <w:rsid w:val="00652599"/>
    <w:rsid w:val="00652625"/>
    <w:rsid w:val="00652799"/>
    <w:rsid w:val="00652952"/>
    <w:rsid w:val="006531B0"/>
    <w:rsid w:val="006534B2"/>
    <w:rsid w:val="00654734"/>
    <w:rsid w:val="00655050"/>
    <w:rsid w:val="006552F5"/>
    <w:rsid w:val="00655F65"/>
    <w:rsid w:val="00655FF2"/>
    <w:rsid w:val="0065615D"/>
    <w:rsid w:val="006564AC"/>
    <w:rsid w:val="006565D7"/>
    <w:rsid w:val="00656867"/>
    <w:rsid w:val="00656D2C"/>
    <w:rsid w:val="00657011"/>
    <w:rsid w:val="006602E3"/>
    <w:rsid w:val="0066051F"/>
    <w:rsid w:val="00660A07"/>
    <w:rsid w:val="00661251"/>
    <w:rsid w:val="00661323"/>
    <w:rsid w:val="00661C50"/>
    <w:rsid w:val="00663170"/>
    <w:rsid w:val="006634EF"/>
    <w:rsid w:val="006637F8"/>
    <w:rsid w:val="006638AB"/>
    <w:rsid w:val="00664215"/>
    <w:rsid w:val="0066439C"/>
    <w:rsid w:val="00664671"/>
    <w:rsid w:val="0066497C"/>
    <w:rsid w:val="006650B5"/>
    <w:rsid w:val="006651B1"/>
    <w:rsid w:val="0066568F"/>
    <w:rsid w:val="006656F0"/>
    <w:rsid w:val="00665778"/>
    <w:rsid w:val="006669A8"/>
    <w:rsid w:val="00666DD4"/>
    <w:rsid w:val="00666E41"/>
    <w:rsid w:val="00667305"/>
    <w:rsid w:val="00667329"/>
    <w:rsid w:val="00667E30"/>
    <w:rsid w:val="00667EB0"/>
    <w:rsid w:val="00670455"/>
    <w:rsid w:val="00670631"/>
    <w:rsid w:val="0067117B"/>
    <w:rsid w:val="00671424"/>
    <w:rsid w:val="0067231A"/>
    <w:rsid w:val="00672F79"/>
    <w:rsid w:val="006738C4"/>
    <w:rsid w:val="00673FD6"/>
    <w:rsid w:val="006741AF"/>
    <w:rsid w:val="006743BC"/>
    <w:rsid w:val="00674645"/>
    <w:rsid w:val="0067493F"/>
    <w:rsid w:val="00674942"/>
    <w:rsid w:val="00674D99"/>
    <w:rsid w:val="00675A9E"/>
    <w:rsid w:val="00675B18"/>
    <w:rsid w:val="00676057"/>
    <w:rsid w:val="006766D7"/>
    <w:rsid w:val="006769FA"/>
    <w:rsid w:val="006774F3"/>
    <w:rsid w:val="006777C4"/>
    <w:rsid w:val="00677C80"/>
    <w:rsid w:val="00677D7A"/>
    <w:rsid w:val="00680184"/>
    <w:rsid w:val="00680717"/>
    <w:rsid w:val="006812F2"/>
    <w:rsid w:val="006820A5"/>
    <w:rsid w:val="006820B2"/>
    <w:rsid w:val="00682215"/>
    <w:rsid w:val="00682E29"/>
    <w:rsid w:val="00683745"/>
    <w:rsid w:val="006842D9"/>
    <w:rsid w:val="0068483C"/>
    <w:rsid w:val="00684C19"/>
    <w:rsid w:val="00684D35"/>
    <w:rsid w:val="00685189"/>
    <w:rsid w:val="0068527C"/>
    <w:rsid w:val="00685BEF"/>
    <w:rsid w:val="00685DCF"/>
    <w:rsid w:val="00686125"/>
    <w:rsid w:val="006862BD"/>
    <w:rsid w:val="006863C5"/>
    <w:rsid w:val="00686761"/>
    <w:rsid w:val="006868F0"/>
    <w:rsid w:val="00687FB3"/>
    <w:rsid w:val="00690DA6"/>
    <w:rsid w:val="006910CC"/>
    <w:rsid w:val="00691C09"/>
    <w:rsid w:val="00691DF5"/>
    <w:rsid w:val="00691E06"/>
    <w:rsid w:val="00692959"/>
    <w:rsid w:val="00693674"/>
    <w:rsid w:val="00693816"/>
    <w:rsid w:val="00693E8E"/>
    <w:rsid w:val="00694AA8"/>
    <w:rsid w:val="00694D59"/>
    <w:rsid w:val="00694F6F"/>
    <w:rsid w:val="006952D1"/>
    <w:rsid w:val="00696768"/>
    <w:rsid w:val="00696B0E"/>
    <w:rsid w:val="0069738F"/>
    <w:rsid w:val="00697D83"/>
    <w:rsid w:val="00697EB4"/>
    <w:rsid w:val="006A0017"/>
    <w:rsid w:val="006A0455"/>
    <w:rsid w:val="006A068A"/>
    <w:rsid w:val="006A0F64"/>
    <w:rsid w:val="006A132B"/>
    <w:rsid w:val="006A1D08"/>
    <w:rsid w:val="006A2334"/>
    <w:rsid w:val="006A26DF"/>
    <w:rsid w:val="006A2B14"/>
    <w:rsid w:val="006A3178"/>
    <w:rsid w:val="006A3664"/>
    <w:rsid w:val="006A3D6C"/>
    <w:rsid w:val="006A3E7C"/>
    <w:rsid w:val="006A4059"/>
    <w:rsid w:val="006A4A0E"/>
    <w:rsid w:val="006A5029"/>
    <w:rsid w:val="006A50B7"/>
    <w:rsid w:val="006A564E"/>
    <w:rsid w:val="006A582C"/>
    <w:rsid w:val="006A5843"/>
    <w:rsid w:val="006A5B34"/>
    <w:rsid w:val="006A5CE5"/>
    <w:rsid w:val="006A5F5B"/>
    <w:rsid w:val="006A6510"/>
    <w:rsid w:val="006A653F"/>
    <w:rsid w:val="006A6739"/>
    <w:rsid w:val="006A6845"/>
    <w:rsid w:val="006A6BD7"/>
    <w:rsid w:val="006A6EFD"/>
    <w:rsid w:val="006A7132"/>
    <w:rsid w:val="006A725B"/>
    <w:rsid w:val="006A761B"/>
    <w:rsid w:val="006A7B7E"/>
    <w:rsid w:val="006A7F9E"/>
    <w:rsid w:val="006B0265"/>
    <w:rsid w:val="006B078E"/>
    <w:rsid w:val="006B0A10"/>
    <w:rsid w:val="006B146F"/>
    <w:rsid w:val="006B14EA"/>
    <w:rsid w:val="006B1AC3"/>
    <w:rsid w:val="006B2224"/>
    <w:rsid w:val="006B2260"/>
    <w:rsid w:val="006B27F2"/>
    <w:rsid w:val="006B2A0E"/>
    <w:rsid w:val="006B3234"/>
    <w:rsid w:val="006B345D"/>
    <w:rsid w:val="006B3E27"/>
    <w:rsid w:val="006B3FC5"/>
    <w:rsid w:val="006B4000"/>
    <w:rsid w:val="006B4D5C"/>
    <w:rsid w:val="006B50E0"/>
    <w:rsid w:val="006B5E19"/>
    <w:rsid w:val="006B6432"/>
    <w:rsid w:val="006B6E6B"/>
    <w:rsid w:val="006B6F05"/>
    <w:rsid w:val="006B784E"/>
    <w:rsid w:val="006B7BD9"/>
    <w:rsid w:val="006C0287"/>
    <w:rsid w:val="006C117F"/>
    <w:rsid w:val="006C1228"/>
    <w:rsid w:val="006C191E"/>
    <w:rsid w:val="006C1970"/>
    <w:rsid w:val="006C1FEB"/>
    <w:rsid w:val="006C20B6"/>
    <w:rsid w:val="006C2A0D"/>
    <w:rsid w:val="006C2D66"/>
    <w:rsid w:val="006C339B"/>
    <w:rsid w:val="006C34FB"/>
    <w:rsid w:val="006C4945"/>
    <w:rsid w:val="006C4AE1"/>
    <w:rsid w:val="006C6562"/>
    <w:rsid w:val="006C699F"/>
    <w:rsid w:val="006C6A2B"/>
    <w:rsid w:val="006C6C36"/>
    <w:rsid w:val="006C709F"/>
    <w:rsid w:val="006C758C"/>
    <w:rsid w:val="006C77A9"/>
    <w:rsid w:val="006D01C3"/>
    <w:rsid w:val="006D2388"/>
    <w:rsid w:val="006D2C02"/>
    <w:rsid w:val="006D2C0A"/>
    <w:rsid w:val="006D4478"/>
    <w:rsid w:val="006D4728"/>
    <w:rsid w:val="006D4877"/>
    <w:rsid w:val="006D4A98"/>
    <w:rsid w:val="006D6E46"/>
    <w:rsid w:val="006E0812"/>
    <w:rsid w:val="006E1C97"/>
    <w:rsid w:val="006E24FB"/>
    <w:rsid w:val="006E2E13"/>
    <w:rsid w:val="006E326A"/>
    <w:rsid w:val="006E4040"/>
    <w:rsid w:val="006E4F15"/>
    <w:rsid w:val="006E65C4"/>
    <w:rsid w:val="006E6C7E"/>
    <w:rsid w:val="006E7172"/>
    <w:rsid w:val="006E720B"/>
    <w:rsid w:val="006E7B3B"/>
    <w:rsid w:val="006F0E45"/>
    <w:rsid w:val="006F1275"/>
    <w:rsid w:val="006F12CD"/>
    <w:rsid w:val="006F134D"/>
    <w:rsid w:val="006F1544"/>
    <w:rsid w:val="006F3383"/>
    <w:rsid w:val="006F35C8"/>
    <w:rsid w:val="006F3742"/>
    <w:rsid w:val="006F393C"/>
    <w:rsid w:val="006F3C39"/>
    <w:rsid w:val="006F3CD2"/>
    <w:rsid w:val="006F4442"/>
    <w:rsid w:val="006F446C"/>
    <w:rsid w:val="006F453B"/>
    <w:rsid w:val="006F48CB"/>
    <w:rsid w:val="006F4EA7"/>
    <w:rsid w:val="006F6693"/>
    <w:rsid w:val="006F6780"/>
    <w:rsid w:val="006F6EB5"/>
    <w:rsid w:val="006F72AD"/>
    <w:rsid w:val="006F7698"/>
    <w:rsid w:val="006F76B3"/>
    <w:rsid w:val="006F76FE"/>
    <w:rsid w:val="006F79C7"/>
    <w:rsid w:val="006F7A8C"/>
    <w:rsid w:val="0070016B"/>
    <w:rsid w:val="00700D32"/>
    <w:rsid w:val="0070118D"/>
    <w:rsid w:val="00701359"/>
    <w:rsid w:val="00701BDB"/>
    <w:rsid w:val="00701C4D"/>
    <w:rsid w:val="00701E74"/>
    <w:rsid w:val="00702733"/>
    <w:rsid w:val="00702F7B"/>
    <w:rsid w:val="00702FCF"/>
    <w:rsid w:val="0070324B"/>
    <w:rsid w:val="0070407C"/>
    <w:rsid w:val="007043CB"/>
    <w:rsid w:val="00706636"/>
    <w:rsid w:val="00707751"/>
    <w:rsid w:val="00707EDA"/>
    <w:rsid w:val="00707FE8"/>
    <w:rsid w:val="00710BF0"/>
    <w:rsid w:val="007111A8"/>
    <w:rsid w:val="00711949"/>
    <w:rsid w:val="00711DDD"/>
    <w:rsid w:val="007125C8"/>
    <w:rsid w:val="0071275D"/>
    <w:rsid w:val="007129F8"/>
    <w:rsid w:val="00713757"/>
    <w:rsid w:val="0071491D"/>
    <w:rsid w:val="007153CD"/>
    <w:rsid w:val="00715A40"/>
    <w:rsid w:val="00715BAD"/>
    <w:rsid w:val="00716D99"/>
    <w:rsid w:val="00716F9B"/>
    <w:rsid w:val="00717448"/>
    <w:rsid w:val="00717A0E"/>
    <w:rsid w:val="00717F0B"/>
    <w:rsid w:val="00720958"/>
    <w:rsid w:val="00720FF8"/>
    <w:rsid w:val="00723234"/>
    <w:rsid w:val="007232B5"/>
    <w:rsid w:val="007234B3"/>
    <w:rsid w:val="00724085"/>
    <w:rsid w:val="00724962"/>
    <w:rsid w:val="00724A0F"/>
    <w:rsid w:val="00724A5F"/>
    <w:rsid w:val="00724AC5"/>
    <w:rsid w:val="00724B3D"/>
    <w:rsid w:val="00724C93"/>
    <w:rsid w:val="00724DC8"/>
    <w:rsid w:val="00726A7A"/>
    <w:rsid w:val="00726DA1"/>
    <w:rsid w:val="007270BC"/>
    <w:rsid w:val="00727A17"/>
    <w:rsid w:val="00727C9E"/>
    <w:rsid w:val="00730343"/>
    <w:rsid w:val="0073072C"/>
    <w:rsid w:val="00731B64"/>
    <w:rsid w:val="007320B4"/>
    <w:rsid w:val="00732162"/>
    <w:rsid w:val="007330D0"/>
    <w:rsid w:val="00733868"/>
    <w:rsid w:val="007338AD"/>
    <w:rsid w:val="007339B0"/>
    <w:rsid w:val="00733C72"/>
    <w:rsid w:val="00733D29"/>
    <w:rsid w:val="00734983"/>
    <w:rsid w:val="00735490"/>
    <w:rsid w:val="00735638"/>
    <w:rsid w:val="007364C4"/>
    <w:rsid w:val="00736647"/>
    <w:rsid w:val="00736732"/>
    <w:rsid w:val="007373F9"/>
    <w:rsid w:val="00737F76"/>
    <w:rsid w:val="0074097B"/>
    <w:rsid w:val="00740BDD"/>
    <w:rsid w:val="00740EE3"/>
    <w:rsid w:val="00740FDD"/>
    <w:rsid w:val="007420BB"/>
    <w:rsid w:val="00742988"/>
    <w:rsid w:val="00743097"/>
    <w:rsid w:val="007433DC"/>
    <w:rsid w:val="00743536"/>
    <w:rsid w:val="00743787"/>
    <w:rsid w:val="0074396E"/>
    <w:rsid w:val="00743ADB"/>
    <w:rsid w:val="00743AE4"/>
    <w:rsid w:val="0074454E"/>
    <w:rsid w:val="007447F8"/>
    <w:rsid w:val="00744A20"/>
    <w:rsid w:val="00745547"/>
    <w:rsid w:val="00746681"/>
    <w:rsid w:val="007468DD"/>
    <w:rsid w:val="00746ADB"/>
    <w:rsid w:val="007478A9"/>
    <w:rsid w:val="007507CE"/>
    <w:rsid w:val="00750ACD"/>
    <w:rsid w:val="00750CBE"/>
    <w:rsid w:val="0075118B"/>
    <w:rsid w:val="007512AB"/>
    <w:rsid w:val="00751B9D"/>
    <w:rsid w:val="00752548"/>
    <w:rsid w:val="007528A6"/>
    <w:rsid w:val="00752C69"/>
    <w:rsid w:val="00753CBC"/>
    <w:rsid w:val="00753EE0"/>
    <w:rsid w:val="007543EA"/>
    <w:rsid w:val="007546D4"/>
    <w:rsid w:val="0075514E"/>
    <w:rsid w:val="00755439"/>
    <w:rsid w:val="00756214"/>
    <w:rsid w:val="00756535"/>
    <w:rsid w:val="00756696"/>
    <w:rsid w:val="0075675C"/>
    <w:rsid w:val="00756910"/>
    <w:rsid w:val="00756A6F"/>
    <w:rsid w:val="00757303"/>
    <w:rsid w:val="007573F8"/>
    <w:rsid w:val="007577FB"/>
    <w:rsid w:val="00760DAD"/>
    <w:rsid w:val="007613E0"/>
    <w:rsid w:val="00761610"/>
    <w:rsid w:val="00761B45"/>
    <w:rsid w:val="007629A7"/>
    <w:rsid w:val="00762E13"/>
    <w:rsid w:val="0076365D"/>
    <w:rsid w:val="00764BCF"/>
    <w:rsid w:val="00764E42"/>
    <w:rsid w:val="0076530A"/>
    <w:rsid w:val="00766B5A"/>
    <w:rsid w:val="0076754E"/>
    <w:rsid w:val="00767603"/>
    <w:rsid w:val="00767C12"/>
    <w:rsid w:val="00770096"/>
    <w:rsid w:val="00770328"/>
    <w:rsid w:val="00771E10"/>
    <w:rsid w:val="00773981"/>
    <w:rsid w:val="00774567"/>
    <w:rsid w:val="00774846"/>
    <w:rsid w:val="00774E44"/>
    <w:rsid w:val="00774EA6"/>
    <w:rsid w:val="0077508B"/>
    <w:rsid w:val="007756C4"/>
    <w:rsid w:val="007762DD"/>
    <w:rsid w:val="0077674E"/>
    <w:rsid w:val="00776B33"/>
    <w:rsid w:val="00777452"/>
    <w:rsid w:val="00777807"/>
    <w:rsid w:val="00777E89"/>
    <w:rsid w:val="007822FE"/>
    <w:rsid w:val="00782461"/>
    <w:rsid w:val="007825AE"/>
    <w:rsid w:val="00782CBF"/>
    <w:rsid w:val="0078340A"/>
    <w:rsid w:val="007834F2"/>
    <w:rsid w:val="00783AAF"/>
    <w:rsid w:val="00784F0E"/>
    <w:rsid w:val="00785371"/>
    <w:rsid w:val="00786E54"/>
    <w:rsid w:val="00786F54"/>
    <w:rsid w:val="0078702E"/>
    <w:rsid w:val="00787C45"/>
    <w:rsid w:val="00787CD2"/>
    <w:rsid w:val="007903D0"/>
    <w:rsid w:val="00790B09"/>
    <w:rsid w:val="00790DDA"/>
    <w:rsid w:val="00790F3D"/>
    <w:rsid w:val="00791020"/>
    <w:rsid w:val="007911B1"/>
    <w:rsid w:val="00791300"/>
    <w:rsid w:val="007922B5"/>
    <w:rsid w:val="00792679"/>
    <w:rsid w:val="00793172"/>
    <w:rsid w:val="00793386"/>
    <w:rsid w:val="0079353F"/>
    <w:rsid w:val="0079452E"/>
    <w:rsid w:val="00795613"/>
    <w:rsid w:val="0079586D"/>
    <w:rsid w:val="007960EB"/>
    <w:rsid w:val="00796814"/>
    <w:rsid w:val="007A016D"/>
    <w:rsid w:val="007A022B"/>
    <w:rsid w:val="007A03E6"/>
    <w:rsid w:val="007A0F4D"/>
    <w:rsid w:val="007A1162"/>
    <w:rsid w:val="007A11E0"/>
    <w:rsid w:val="007A1A39"/>
    <w:rsid w:val="007A1F1B"/>
    <w:rsid w:val="007A2E7C"/>
    <w:rsid w:val="007A2EA4"/>
    <w:rsid w:val="007A3391"/>
    <w:rsid w:val="007A33E0"/>
    <w:rsid w:val="007A3918"/>
    <w:rsid w:val="007A3E16"/>
    <w:rsid w:val="007A4085"/>
    <w:rsid w:val="007A4671"/>
    <w:rsid w:val="007A4888"/>
    <w:rsid w:val="007A49AD"/>
    <w:rsid w:val="007A4B1D"/>
    <w:rsid w:val="007A4CF6"/>
    <w:rsid w:val="007A4ED0"/>
    <w:rsid w:val="007A4F27"/>
    <w:rsid w:val="007A527B"/>
    <w:rsid w:val="007A5432"/>
    <w:rsid w:val="007A5F82"/>
    <w:rsid w:val="007A60D7"/>
    <w:rsid w:val="007A6933"/>
    <w:rsid w:val="007A6C0F"/>
    <w:rsid w:val="007A714D"/>
    <w:rsid w:val="007A7D2D"/>
    <w:rsid w:val="007B003C"/>
    <w:rsid w:val="007B0405"/>
    <w:rsid w:val="007B0CDC"/>
    <w:rsid w:val="007B140F"/>
    <w:rsid w:val="007B1FB7"/>
    <w:rsid w:val="007B21AB"/>
    <w:rsid w:val="007B23DE"/>
    <w:rsid w:val="007B2664"/>
    <w:rsid w:val="007B2C62"/>
    <w:rsid w:val="007B313D"/>
    <w:rsid w:val="007B422D"/>
    <w:rsid w:val="007B4328"/>
    <w:rsid w:val="007B4481"/>
    <w:rsid w:val="007B61D7"/>
    <w:rsid w:val="007B75A4"/>
    <w:rsid w:val="007B7C1A"/>
    <w:rsid w:val="007C04E9"/>
    <w:rsid w:val="007C06E2"/>
    <w:rsid w:val="007C10B8"/>
    <w:rsid w:val="007C12BB"/>
    <w:rsid w:val="007C15C3"/>
    <w:rsid w:val="007C2056"/>
    <w:rsid w:val="007C207D"/>
    <w:rsid w:val="007C2086"/>
    <w:rsid w:val="007C21BF"/>
    <w:rsid w:val="007C36FE"/>
    <w:rsid w:val="007C3B0F"/>
    <w:rsid w:val="007C5135"/>
    <w:rsid w:val="007C5168"/>
    <w:rsid w:val="007C5482"/>
    <w:rsid w:val="007C5515"/>
    <w:rsid w:val="007C5690"/>
    <w:rsid w:val="007C61F9"/>
    <w:rsid w:val="007C620C"/>
    <w:rsid w:val="007C7046"/>
    <w:rsid w:val="007C7282"/>
    <w:rsid w:val="007C78AE"/>
    <w:rsid w:val="007C798F"/>
    <w:rsid w:val="007C7C05"/>
    <w:rsid w:val="007C7E19"/>
    <w:rsid w:val="007D017F"/>
    <w:rsid w:val="007D04A8"/>
    <w:rsid w:val="007D1C3E"/>
    <w:rsid w:val="007D31A4"/>
    <w:rsid w:val="007D3AA1"/>
    <w:rsid w:val="007D3D71"/>
    <w:rsid w:val="007D4268"/>
    <w:rsid w:val="007D4737"/>
    <w:rsid w:val="007D53C9"/>
    <w:rsid w:val="007D64B8"/>
    <w:rsid w:val="007D69DF"/>
    <w:rsid w:val="007D70B5"/>
    <w:rsid w:val="007D742B"/>
    <w:rsid w:val="007E068E"/>
    <w:rsid w:val="007E0CC6"/>
    <w:rsid w:val="007E0FF1"/>
    <w:rsid w:val="007E15F5"/>
    <w:rsid w:val="007E22CB"/>
    <w:rsid w:val="007E2B1F"/>
    <w:rsid w:val="007E2BE0"/>
    <w:rsid w:val="007E2F55"/>
    <w:rsid w:val="007E32DF"/>
    <w:rsid w:val="007E37C6"/>
    <w:rsid w:val="007E4DE4"/>
    <w:rsid w:val="007E6888"/>
    <w:rsid w:val="007E6ECA"/>
    <w:rsid w:val="007E6F94"/>
    <w:rsid w:val="007E7049"/>
    <w:rsid w:val="007E707E"/>
    <w:rsid w:val="007E755C"/>
    <w:rsid w:val="007E7D0E"/>
    <w:rsid w:val="007F09FF"/>
    <w:rsid w:val="007F15FE"/>
    <w:rsid w:val="007F1716"/>
    <w:rsid w:val="007F1A4C"/>
    <w:rsid w:val="007F1B43"/>
    <w:rsid w:val="007F1CA1"/>
    <w:rsid w:val="007F1F6C"/>
    <w:rsid w:val="007F240B"/>
    <w:rsid w:val="007F2790"/>
    <w:rsid w:val="007F2A21"/>
    <w:rsid w:val="007F346C"/>
    <w:rsid w:val="007F35EC"/>
    <w:rsid w:val="007F5353"/>
    <w:rsid w:val="007F5E8B"/>
    <w:rsid w:val="007F66A9"/>
    <w:rsid w:val="007F67EB"/>
    <w:rsid w:val="007F7714"/>
    <w:rsid w:val="007F78A1"/>
    <w:rsid w:val="007F7B8A"/>
    <w:rsid w:val="008001D5"/>
    <w:rsid w:val="008003B5"/>
    <w:rsid w:val="008016AC"/>
    <w:rsid w:val="00801E18"/>
    <w:rsid w:val="0080202C"/>
    <w:rsid w:val="008022C3"/>
    <w:rsid w:val="008026A5"/>
    <w:rsid w:val="00803036"/>
    <w:rsid w:val="0080391D"/>
    <w:rsid w:val="00803C56"/>
    <w:rsid w:val="00803F69"/>
    <w:rsid w:val="0080403A"/>
    <w:rsid w:val="008040AB"/>
    <w:rsid w:val="008041E6"/>
    <w:rsid w:val="0080454B"/>
    <w:rsid w:val="00804726"/>
    <w:rsid w:val="00805246"/>
    <w:rsid w:val="00805434"/>
    <w:rsid w:val="0080554A"/>
    <w:rsid w:val="008061C9"/>
    <w:rsid w:val="00806437"/>
    <w:rsid w:val="008065D2"/>
    <w:rsid w:val="0080660E"/>
    <w:rsid w:val="0080673A"/>
    <w:rsid w:val="00806786"/>
    <w:rsid w:val="00806D78"/>
    <w:rsid w:val="0080768A"/>
    <w:rsid w:val="00807C51"/>
    <w:rsid w:val="00807C93"/>
    <w:rsid w:val="008100E4"/>
    <w:rsid w:val="008101A8"/>
    <w:rsid w:val="00810482"/>
    <w:rsid w:val="00811637"/>
    <w:rsid w:val="008117B9"/>
    <w:rsid w:val="00811ADE"/>
    <w:rsid w:val="00811ECC"/>
    <w:rsid w:val="00812257"/>
    <w:rsid w:val="00812FE9"/>
    <w:rsid w:val="00813017"/>
    <w:rsid w:val="0081353D"/>
    <w:rsid w:val="00813E15"/>
    <w:rsid w:val="00814371"/>
    <w:rsid w:val="0081445E"/>
    <w:rsid w:val="00815A8C"/>
    <w:rsid w:val="00815F8F"/>
    <w:rsid w:val="008165D0"/>
    <w:rsid w:val="00816A82"/>
    <w:rsid w:val="008170E1"/>
    <w:rsid w:val="0081791A"/>
    <w:rsid w:val="00817C2E"/>
    <w:rsid w:val="00817CEC"/>
    <w:rsid w:val="008200DC"/>
    <w:rsid w:val="00820328"/>
    <w:rsid w:val="00820556"/>
    <w:rsid w:val="00820794"/>
    <w:rsid w:val="00820A0E"/>
    <w:rsid w:val="00820F99"/>
    <w:rsid w:val="008211F8"/>
    <w:rsid w:val="008212D3"/>
    <w:rsid w:val="0082194C"/>
    <w:rsid w:val="008220C4"/>
    <w:rsid w:val="008222FF"/>
    <w:rsid w:val="00822404"/>
    <w:rsid w:val="00822DE4"/>
    <w:rsid w:val="008231EB"/>
    <w:rsid w:val="00823A97"/>
    <w:rsid w:val="00824151"/>
    <w:rsid w:val="008241FF"/>
    <w:rsid w:val="00824562"/>
    <w:rsid w:val="00825196"/>
    <w:rsid w:val="00825733"/>
    <w:rsid w:val="00825BB3"/>
    <w:rsid w:val="00826547"/>
    <w:rsid w:val="00826936"/>
    <w:rsid w:val="00826AAB"/>
    <w:rsid w:val="00826DFB"/>
    <w:rsid w:val="0082720F"/>
    <w:rsid w:val="00827303"/>
    <w:rsid w:val="00827680"/>
    <w:rsid w:val="00830848"/>
    <w:rsid w:val="00830904"/>
    <w:rsid w:val="0083098F"/>
    <w:rsid w:val="00830C47"/>
    <w:rsid w:val="00830DFF"/>
    <w:rsid w:val="008333F5"/>
    <w:rsid w:val="00833433"/>
    <w:rsid w:val="008334B4"/>
    <w:rsid w:val="0083376D"/>
    <w:rsid w:val="008337D7"/>
    <w:rsid w:val="00833B1D"/>
    <w:rsid w:val="00833EC1"/>
    <w:rsid w:val="00835162"/>
    <w:rsid w:val="0083537C"/>
    <w:rsid w:val="00836034"/>
    <w:rsid w:val="008361D4"/>
    <w:rsid w:val="008363C5"/>
    <w:rsid w:val="008368AD"/>
    <w:rsid w:val="00837346"/>
    <w:rsid w:val="0083761C"/>
    <w:rsid w:val="00837775"/>
    <w:rsid w:val="00837841"/>
    <w:rsid w:val="00840C16"/>
    <w:rsid w:val="008411E9"/>
    <w:rsid w:val="0084200F"/>
    <w:rsid w:val="008424FE"/>
    <w:rsid w:val="0084287B"/>
    <w:rsid w:val="00842BB0"/>
    <w:rsid w:val="00842C0A"/>
    <w:rsid w:val="0084325C"/>
    <w:rsid w:val="0084379B"/>
    <w:rsid w:val="00843B2C"/>
    <w:rsid w:val="00843EAA"/>
    <w:rsid w:val="00843F5B"/>
    <w:rsid w:val="008441BA"/>
    <w:rsid w:val="0084446E"/>
    <w:rsid w:val="00845533"/>
    <w:rsid w:val="00845B47"/>
    <w:rsid w:val="00846AE1"/>
    <w:rsid w:val="00846D4E"/>
    <w:rsid w:val="008471C4"/>
    <w:rsid w:val="00847E13"/>
    <w:rsid w:val="008501EF"/>
    <w:rsid w:val="008502C5"/>
    <w:rsid w:val="0085054F"/>
    <w:rsid w:val="00850562"/>
    <w:rsid w:val="008507D3"/>
    <w:rsid w:val="008510F9"/>
    <w:rsid w:val="008514BE"/>
    <w:rsid w:val="00851639"/>
    <w:rsid w:val="008516CE"/>
    <w:rsid w:val="00851D3C"/>
    <w:rsid w:val="00853C59"/>
    <w:rsid w:val="00853D07"/>
    <w:rsid w:val="00853E64"/>
    <w:rsid w:val="0085419F"/>
    <w:rsid w:val="00854939"/>
    <w:rsid w:val="00854CB8"/>
    <w:rsid w:val="00855240"/>
    <w:rsid w:val="00855896"/>
    <w:rsid w:val="00856C17"/>
    <w:rsid w:val="00857B88"/>
    <w:rsid w:val="00860634"/>
    <w:rsid w:val="0086142E"/>
    <w:rsid w:val="00861E93"/>
    <w:rsid w:val="008624BC"/>
    <w:rsid w:val="00862D7A"/>
    <w:rsid w:val="0086300F"/>
    <w:rsid w:val="00863316"/>
    <w:rsid w:val="0086353D"/>
    <w:rsid w:val="00863A26"/>
    <w:rsid w:val="00863A49"/>
    <w:rsid w:val="00863C04"/>
    <w:rsid w:val="008643C9"/>
    <w:rsid w:val="008649DE"/>
    <w:rsid w:val="00864B51"/>
    <w:rsid w:val="00864C63"/>
    <w:rsid w:val="0086522C"/>
    <w:rsid w:val="0086548E"/>
    <w:rsid w:val="00865FA9"/>
    <w:rsid w:val="008662BC"/>
    <w:rsid w:val="00866352"/>
    <w:rsid w:val="00867586"/>
    <w:rsid w:val="0087062E"/>
    <w:rsid w:val="008717C2"/>
    <w:rsid w:val="0087240E"/>
    <w:rsid w:val="00872882"/>
    <w:rsid w:val="00872B77"/>
    <w:rsid w:val="00872C26"/>
    <w:rsid w:val="0087412D"/>
    <w:rsid w:val="008743E3"/>
    <w:rsid w:val="00875231"/>
    <w:rsid w:val="0087542E"/>
    <w:rsid w:val="00875AE7"/>
    <w:rsid w:val="00875D41"/>
    <w:rsid w:val="00876801"/>
    <w:rsid w:val="0087687D"/>
    <w:rsid w:val="00876B55"/>
    <w:rsid w:val="00876EE4"/>
    <w:rsid w:val="00877335"/>
    <w:rsid w:val="008802DA"/>
    <w:rsid w:val="008805CE"/>
    <w:rsid w:val="00880771"/>
    <w:rsid w:val="0088176E"/>
    <w:rsid w:val="008818DF"/>
    <w:rsid w:val="00882E44"/>
    <w:rsid w:val="00882FDA"/>
    <w:rsid w:val="008833B3"/>
    <w:rsid w:val="008840F4"/>
    <w:rsid w:val="00884B2C"/>
    <w:rsid w:val="00884EE6"/>
    <w:rsid w:val="0088511E"/>
    <w:rsid w:val="00885B10"/>
    <w:rsid w:val="00886143"/>
    <w:rsid w:val="0088716D"/>
    <w:rsid w:val="00887423"/>
    <w:rsid w:val="00890096"/>
    <w:rsid w:val="008909EB"/>
    <w:rsid w:val="0089226B"/>
    <w:rsid w:val="00892F9E"/>
    <w:rsid w:val="008933F6"/>
    <w:rsid w:val="0089355A"/>
    <w:rsid w:val="008940B6"/>
    <w:rsid w:val="0089533E"/>
    <w:rsid w:val="0089587C"/>
    <w:rsid w:val="00896861"/>
    <w:rsid w:val="008975D4"/>
    <w:rsid w:val="00897720"/>
    <w:rsid w:val="008A022E"/>
    <w:rsid w:val="008A0858"/>
    <w:rsid w:val="008A14A7"/>
    <w:rsid w:val="008A1649"/>
    <w:rsid w:val="008A18F1"/>
    <w:rsid w:val="008A1A94"/>
    <w:rsid w:val="008A1B7F"/>
    <w:rsid w:val="008A1C11"/>
    <w:rsid w:val="008A1F68"/>
    <w:rsid w:val="008A2230"/>
    <w:rsid w:val="008A2A91"/>
    <w:rsid w:val="008A3E6C"/>
    <w:rsid w:val="008A454B"/>
    <w:rsid w:val="008A4900"/>
    <w:rsid w:val="008A4DBA"/>
    <w:rsid w:val="008A4E2E"/>
    <w:rsid w:val="008A4E43"/>
    <w:rsid w:val="008A4EA1"/>
    <w:rsid w:val="008A55A0"/>
    <w:rsid w:val="008A6475"/>
    <w:rsid w:val="008A66B1"/>
    <w:rsid w:val="008A6D39"/>
    <w:rsid w:val="008B03CF"/>
    <w:rsid w:val="008B06D9"/>
    <w:rsid w:val="008B0DE0"/>
    <w:rsid w:val="008B1C89"/>
    <w:rsid w:val="008B234A"/>
    <w:rsid w:val="008B2AAB"/>
    <w:rsid w:val="008B2CA8"/>
    <w:rsid w:val="008B2E10"/>
    <w:rsid w:val="008B386B"/>
    <w:rsid w:val="008B3CB1"/>
    <w:rsid w:val="008B3E96"/>
    <w:rsid w:val="008B48E8"/>
    <w:rsid w:val="008B490F"/>
    <w:rsid w:val="008B5D44"/>
    <w:rsid w:val="008B7492"/>
    <w:rsid w:val="008C0027"/>
    <w:rsid w:val="008C0D40"/>
    <w:rsid w:val="008C0F12"/>
    <w:rsid w:val="008C2179"/>
    <w:rsid w:val="008C3B89"/>
    <w:rsid w:val="008C44B3"/>
    <w:rsid w:val="008C504C"/>
    <w:rsid w:val="008C527F"/>
    <w:rsid w:val="008C5520"/>
    <w:rsid w:val="008C6A2D"/>
    <w:rsid w:val="008C752B"/>
    <w:rsid w:val="008C7C2F"/>
    <w:rsid w:val="008D0281"/>
    <w:rsid w:val="008D0880"/>
    <w:rsid w:val="008D0C2B"/>
    <w:rsid w:val="008D0D47"/>
    <w:rsid w:val="008D13C5"/>
    <w:rsid w:val="008D146A"/>
    <w:rsid w:val="008D1884"/>
    <w:rsid w:val="008D1EAA"/>
    <w:rsid w:val="008D1F00"/>
    <w:rsid w:val="008D22BA"/>
    <w:rsid w:val="008D2716"/>
    <w:rsid w:val="008D3109"/>
    <w:rsid w:val="008D4167"/>
    <w:rsid w:val="008D4405"/>
    <w:rsid w:val="008D5096"/>
    <w:rsid w:val="008D55B2"/>
    <w:rsid w:val="008D55F9"/>
    <w:rsid w:val="008D57E8"/>
    <w:rsid w:val="008D594F"/>
    <w:rsid w:val="008D5D80"/>
    <w:rsid w:val="008D5D8B"/>
    <w:rsid w:val="008D5F2B"/>
    <w:rsid w:val="008D631C"/>
    <w:rsid w:val="008D6A9A"/>
    <w:rsid w:val="008E14B9"/>
    <w:rsid w:val="008E1BF3"/>
    <w:rsid w:val="008E1D70"/>
    <w:rsid w:val="008E2318"/>
    <w:rsid w:val="008E2860"/>
    <w:rsid w:val="008E28EF"/>
    <w:rsid w:val="008E2ADB"/>
    <w:rsid w:val="008E3030"/>
    <w:rsid w:val="008E308A"/>
    <w:rsid w:val="008E3C4E"/>
    <w:rsid w:val="008E3E3C"/>
    <w:rsid w:val="008E49B3"/>
    <w:rsid w:val="008E4D0E"/>
    <w:rsid w:val="008E4E0B"/>
    <w:rsid w:val="008E5D82"/>
    <w:rsid w:val="008E608B"/>
    <w:rsid w:val="008E709C"/>
    <w:rsid w:val="008E72C9"/>
    <w:rsid w:val="008E7C67"/>
    <w:rsid w:val="008F05C1"/>
    <w:rsid w:val="008F11FC"/>
    <w:rsid w:val="008F17D4"/>
    <w:rsid w:val="008F1AB4"/>
    <w:rsid w:val="008F1E3F"/>
    <w:rsid w:val="008F1E6B"/>
    <w:rsid w:val="008F1FA0"/>
    <w:rsid w:val="008F36CC"/>
    <w:rsid w:val="008F3936"/>
    <w:rsid w:val="008F43DD"/>
    <w:rsid w:val="008F4479"/>
    <w:rsid w:val="008F4894"/>
    <w:rsid w:val="008F51F3"/>
    <w:rsid w:val="008F57F3"/>
    <w:rsid w:val="008F589C"/>
    <w:rsid w:val="008F58BD"/>
    <w:rsid w:val="008F6869"/>
    <w:rsid w:val="008F69EB"/>
    <w:rsid w:val="008F6A38"/>
    <w:rsid w:val="008F6A7A"/>
    <w:rsid w:val="008F6B7C"/>
    <w:rsid w:val="008F6D45"/>
    <w:rsid w:val="008F7DCA"/>
    <w:rsid w:val="00900A37"/>
    <w:rsid w:val="00900BED"/>
    <w:rsid w:val="00900CF1"/>
    <w:rsid w:val="00903673"/>
    <w:rsid w:val="00903AF1"/>
    <w:rsid w:val="00903B9E"/>
    <w:rsid w:val="009040F4"/>
    <w:rsid w:val="0090430B"/>
    <w:rsid w:val="0090434C"/>
    <w:rsid w:val="009045E8"/>
    <w:rsid w:val="0090462B"/>
    <w:rsid w:val="00905078"/>
    <w:rsid w:val="009055BF"/>
    <w:rsid w:val="009055D7"/>
    <w:rsid w:val="00905DE8"/>
    <w:rsid w:val="0090699A"/>
    <w:rsid w:val="009069B4"/>
    <w:rsid w:val="00907166"/>
    <w:rsid w:val="009079CD"/>
    <w:rsid w:val="009107FE"/>
    <w:rsid w:val="00910E90"/>
    <w:rsid w:val="009111C5"/>
    <w:rsid w:val="00911375"/>
    <w:rsid w:val="0091208F"/>
    <w:rsid w:val="00912C5C"/>
    <w:rsid w:val="00913C9A"/>
    <w:rsid w:val="00914560"/>
    <w:rsid w:val="00914D44"/>
    <w:rsid w:val="00915863"/>
    <w:rsid w:val="009169AC"/>
    <w:rsid w:val="00917338"/>
    <w:rsid w:val="009177DC"/>
    <w:rsid w:val="00920040"/>
    <w:rsid w:val="009200C4"/>
    <w:rsid w:val="009208CF"/>
    <w:rsid w:val="00920C6C"/>
    <w:rsid w:val="009210BD"/>
    <w:rsid w:val="009210EF"/>
    <w:rsid w:val="00922017"/>
    <w:rsid w:val="009220D1"/>
    <w:rsid w:val="00922235"/>
    <w:rsid w:val="00922FD2"/>
    <w:rsid w:val="00923701"/>
    <w:rsid w:val="00923F8C"/>
    <w:rsid w:val="009245D3"/>
    <w:rsid w:val="009245DB"/>
    <w:rsid w:val="00924B16"/>
    <w:rsid w:val="00924BB8"/>
    <w:rsid w:val="00924EB4"/>
    <w:rsid w:val="00924F77"/>
    <w:rsid w:val="009256C2"/>
    <w:rsid w:val="00925EAC"/>
    <w:rsid w:val="009266B8"/>
    <w:rsid w:val="009275E6"/>
    <w:rsid w:val="0092769B"/>
    <w:rsid w:val="00927BDB"/>
    <w:rsid w:val="00930EC3"/>
    <w:rsid w:val="00931326"/>
    <w:rsid w:val="00931350"/>
    <w:rsid w:val="009318D8"/>
    <w:rsid w:val="00931990"/>
    <w:rsid w:val="00931AB6"/>
    <w:rsid w:val="00931AF6"/>
    <w:rsid w:val="00931CEA"/>
    <w:rsid w:val="00932192"/>
    <w:rsid w:val="00933BD7"/>
    <w:rsid w:val="00933EF1"/>
    <w:rsid w:val="009341B7"/>
    <w:rsid w:val="00935001"/>
    <w:rsid w:val="00935F91"/>
    <w:rsid w:val="0093610D"/>
    <w:rsid w:val="00936573"/>
    <w:rsid w:val="009366FC"/>
    <w:rsid w:val="00936713"/>
    <w:rsid w:val="0093731C"/>
    <w:rsid w:val="00937346"/>
    <w:rsid w:val="00937995"/>
    <w:rsid w:val="009405CC"/>
    <w:rsid w:val="00940B29"/>
    <w:rsid w:val="00941218"/>
    <w:rsid w:val="009412D9"/>
    <w:rsid w:val="00941B0E"/>
    <w:rsid w:val="00941B3C"/>
    <w:rsid w:val="00943086"/>
    <w:rsid w:val="009433C9"/>
    <w:rsid w:val="00943D5F"/>
    <w:rsid w:val="00943E29"/>
    <w:rsid w:val="00944544"/>
    <w:rsid w:val="00944E9D"/>
    <w:rsid w:val="00945C45"/>
    <w:rsid w:val="00946856"/>
    <w:rsid w:val="00946B31"/>
    <w:rsid w:val="00947112"/>
    <w:rsid w:val="0094743D"/>
    <w:rsid w:val="00947668"/>
    <w:rsid w:val="009476BC"/>
    <w:rsid w:val="009477D3"/>
    <w:rsid w:val="00947C81"/>
    <w:rsid w:val="00947D69"/>
    <w:rsid w:val="009503C8"/>
    <w:rsid w:val="0095110A"/>
    <w:rsid w:val="0095186C"/>
    <w:rsid w:val="00951C8A"/>
    <w:rsid w:val="00951EC1"/>
    <w:rsid w:val="0095229B"/>
    <w:rsid w:val="009529D7"/>
    <w:rsid w:val="00953C52"/>
    <w:rsid w:val="00954FA1"/>
    <w:rsid w:val="00955369"/>
    <w:rsid w:val="009561D2"/>
    <w:rsid w:val="0095683A"/>
    <w:rsid w:val="00956BDB"/>
    <w:rsid w:val="009601B0"/>
    <w:rsid w:val="009603CB"/>
    <w:rsid w:val="00961408"/>
    <w:rsid w:val="009625B2"/>
    <w:rsid w:val="0096399C"/>
    <w:rsid w:val="00964074"/>
    <w:rsid w:val="009653F5"/>
    <w:rsid w:val="00966EBD"/>
    <w:rsid w:val="00967068"/>
    <w:rsid w:val="00967523"/>
    <w:rsid w:val="0096792B"/>
    <w:rsid w:val="00967F49"/>
    <w:rsid w:val="00970D94"/>
    <w:rsid w:val="00971A9E"/>
    <w:rsid w:val="00972086"/>
    <w:rsid w:val="0097212D"/>
    <w:rsid w:val="00972491"/>
    <w:rsid w:val="00972D36"/>
    <w:rsid w:val="00973108"/>
    <w:rsid w:val="00973844"/>
    <w:rsid w:val="00973DAF"/>
    <w:rsid w:val="00974FF0"/>
    <w:rsid w:val="00975016"/>
    <w:rsid w:val="00975242"/>
    <w:rsid w:val="0097647D"/>
    <w:rsid w:val="009764F3"/>
    <w:rsid w:val="00976D61"/>
    <w:rsid w:val="0097718C"/>
    <w:rsid w:val="00977F11"/>
    <w:rsid w:val="009800CF"/>
    <w:rsid w:val="00980D55"/>
    <w:rsid w:val="009813D9"/>
    <w:rsid w:val="00981885"/>
    <w:rsid w:val="00981A88"/>
    <w:rsid w:val="00981B9E"/>
    <w:rsid w:val="00981F2B"/>
    <w:rsid w:val="009834C0"/>
    <w:rsid w:val="00983F6D"/>
    <w:rsid w:val="00983FB6"/>
    <w:rsid w:val="009842B6"/>
    <w:rsid w:val="009843FD"/>
    <w:rsid w:val="00984513"/>
    <w:rsid w:val="009845FD"/>
    <w:rsid w:val="00984C88"/>
    <w:rsid w:val="00984C95"/>
    <w:rsid w:val="00985640"/>
    <w:rsid w:val="00985B30"/>
    <w:rsid w:val="00986980"/>
    <w:rsid w:val="00986AAC"/>
    <w:rsid w:val="00986E24"/>
    <w:rsid w:val="00986EE8"/>
    <w:rsid w:val="0098725C"/>
    <w:rsid w:val="009876C0"/>
    <w:rsid w:val="00987CB5"/>
    <w:rsid w:val="00990508"/>
    <w:rsid w:val="00990681"/>
    <w:rsid w:val="00991AC3"/>
    <w:rsid w:val="00991B95"/>
    <w:rsid w:val="009935E2"/>
    <w:rsid w:val="009935FA"/>
    <w:rsid w:val="009937EB"/>
    <w:rsid w:val="00994439"/>
    <w:rsid w:val="009947D2"/>
    <w:rsid w:val="00994C5E"/>
    <w:rsid w:val="00994FF8"/>
    <w:rsid w:val="00995AB1"/>
    <w:rsid w:val="00995EB0"/>
    <w:rsid w:val="00996E7A"/>
    <w:rsid w:val="00997452"/>
    <w:rsid w:val="00997AC5"/>
    <w:rsid w:val="00997B19"/>
    <w:rsid w:val="009A02BC"/>
    <w:rsid w:val="009A0DB7"/>
    <w:rsid w:val="009A0E94"/>
    <w:rsid w:val="009A15D4"/>
    <w:rsid w:val="009A175F"/>
    <w:rsid w:val="009A1DA2"/>
    <w:rsid w:val="009A1E91"/>
    <w:rsid w:val="009A1EFE"/>
    <w:rsid w:val="009A203A"/>
    <w:rsid w:val="009A208C"/>
    <w:rsid w:val="009A221A"/>
    <w:rsid w:val="009A3704"/>
    <w:rsid w:val="009A3B97"/>
    <w:rsid w:val="009A3CF5"/>
    <w:rsid w:val="009A4739"/>
    <w:rsid w:val="009A4E8A"/>
    <w:rsid w:val="009A5DEB"/>
    <w:rsid w:val="009A6055"/>
    <w:rsid w:val="009A6358"/>
    <w:rsid w:val="009A63C4"/>
    <w:rsid w:val="009A649E"/>
    <w:rsid w:val="009A674F"/>
    <w:rsid w:val="009A6C53"/>
    <w:rsid w:val="009A6C80"/>
    <w:rsid w:val="009A6CC1"/>
    <w:rsid w:val="009A7AEF"/>
    <w:rsid w:val="009A7AF6"/>
    <w:rsid w:val="009A7C02"/>
    <w:rsid w:val="009A7E2D"/>
    <w:rsid w:val="009B0525"/>
    <w:rsid w:val="009B0894"/>
    <w:rsid w:val="009B0B9D"/>
    <w:rsid w:val="009B13C9"/>
    <w:rsid w:val="009B1606"/>
    <w:rsid w:val="009B1645"/>
    <w:rsid w:val="009B199C"/>
    <w:rsid w:val="009B1AB4"/>
    <w:rsid w:val="009B1F53"/>
    <w:rsid w:val="009B25B5"/>
    <w:rsid w:val="009B38E9"/>
    <w:rsid w:val="009B3DEF"/>
    <w:rsid w:val="009B4348"/>
    <w:rsid w:val="009B4978"/>
    <w:rsid w:val="009B54C8"/>
    <w:rsid w:val="009B61F1"/>
    <w:rsid w:val="009B62E0"/>
    <w:rsid w:val="009B6590"/>
    <w:rsid w:val="009B6A97"/>
    <w:rsid w:val="009B6AA5"/>
    <w:rsid w:val="009B7D32"/>
    <w:rsid w:val="009C09F7"/>
    <w:rsid w:val="009C0AB6"/>
    <w:rsid w:val="009C0C85"/>
    <w:rsid w:val="009C0FF6"/>
    <w:rsid w:val="009C123A"/>
    <w:rsid w:val="009C179E"/>
    <w:rsid w:val="009C1A2D"/>
    <w:rsid w:val="009C1B48"/>
    <w:rsid w:val="009C2985"/>
    <w:rsid w:val="009C2C91"/>
    <w:rsid w:val="009C3613"/>
    <w:rsid w:val="009C3A06"/>
    <w:rsid w:val="009C3D88"/>
    <w:rsid w:val="009C41E9"/>
    <w:rsid w:val="009C44DF"/>
    <w:rsid w:val="009C4600"/>
    <w:rsid w:val="009C498C"/>
    <w:rsid w:val="009C4B53"/>
    <w:rsid w:val="009C504B"/>
    <w:rsid w:val="009C5287"/>
    <w:rsid w:val="009C56F4"/>
    <w:rsid w:val="009C5ADE"/>
    <w:rsid w:val="009C6263"/>
    <w:rsid w:val="009C62D4"/>
    <w:rsid w:val="009C652F"/>
    <w:rsid w:val="009C6604"/>
    <w:rsid w:val="009C6ED3"/>
    <w:rsid w:val="009C7063"/>
    <w:rsid w:val="009C7A02"/>
    <w:rsid w:val="009C7BB5"/>
    <w:rsid w:val="009D0A95"/>
    <w:rsid w:val="009D0E63"/>
    <w:rsid w:val="009D110F"/>
    <w:rsid w:val="009D1672"/>
    <w:rsid w:val="009D1E6F"/>
    <w:rsid w:val="009D2168"/>
    <w:rsid w:val="009D282E"/>
    <w:rsid w:val="009D2EC0"/>
    <w:rsid w:val="009D323D"/>
    <w:rsid w:val="009D32CB"/>
    <w:rsid w:val="009D3371"/>
    <w:rsid w:val="009D413E"/>
    <w:rsid w:val="009D4593"/>
    <w:rsid w:val="009D4968"/>
    <w:rsid w:val="009D4BE6"/>
    <w:rsid w:val="009D4D9F"/>
    <w:rsid w:val="009D4F6A"/>
    <w:rsid w:val="009D50F3"/>
    <w:rsid w:val="009D52EF"/>
    <w:rsid w:val="009D546E"/>
    <w:rsid w:val="009D56AF"/>
    <w:rsid w:val="009D574C"/>
    <w:rsid w:val="009D5825"/>
    <w:rsid w:val="009D65D4"/>
    <w:rsid w:val="009D6A67"/>
    <w:rsid w:val="009D6AC8"/>
    <w:rsid w:val="009D6B7A"/>
    <w:rsid w:val="009D6ED2"/>
    <w:rsid w:val="009D76BA"/>
    <w:rsid w:val="009E03C1"/>
    <w:rsid w:val="009E0668"/>
    <w:rsid w:val="009E088F"/>
    <w:rsid w:val="009E09C6"/>
    <w:rsid w:val="009E145E"/>
    <w:rsid w:val="009E1BEE"/>
    <w:rsid w:val="009E22A3"/>
    <w:rsid w:val="009E2D07"/>
    <w:rsid w:val="009E3858"/>
    <w:rsid w:val="009E3AB0"/>
    <w:rsid w:val="009E4A3B"/>
    <w:rsid w:val="009E516F"/>
    <w:rsid w:val="009E55B9"/>
    <w:rsid w:val="009E55FE"/>
    <w:rsid w:val="009E622F"/>
    <w:rsid w:val="009E6571"/>
    <w:rsid w:val="009E6BD4"/>
    <w:rsid w:val="009E6E3D"/>
    <w:rsid w:val="009E70DD"/>
    <w:rsid w:val="009E773D"/>
    <w:rsid w:val="009E793A"/>
    <w:rsid w:val="009F0AD4"/>
    <w:rsid w:val="009F0E44"/>
    <w:rsid w:val="009F15F9"/>
    <w:rsid w:val="009F1CB0"/>
    <w:rsid w:val="009F20B7"/>
    <w:rsid w:val="009F248F"/>
    <w:rsid w:val="009F249D"/>
    <w:rsid w:val="009F27E3"/>
    <w:rsid w:val="009F2D40"/>
    <w:rsid w:val="009F2ED9"/>
    <w:rsid w:val="009F2F6D"/>
    <w:rsid w:val="009F2FF5"/>
    <w:rsid w:val="009F3231"/>
    <w:rsid w:val="009F3D81"/>
    <w:rsid w:val="009F4C2B"/>
    <w:rsid w:val="009F4CA8"/>
    <w:rsid w:val="009F4E1F"/>
    <w:rsid w:val="009F54CF"/>
    <w:rsid w:val="009F5AAC"/>
    <w:rsid w:val="009F5C58"/>
    <w:rsid w:val="009F6E42"/>
    <w:rsid w:val="009F722E"/>
    <w:rsid w:val="009F7B13"/>
    <w:rsid w:val="00A00695"/>
    <w:rsid w:val="00A009E8"/>
    <w:rsid w:val="00A0184E"/>
    <w:rsid w:val="00A01920"/>
    <w:rsid w:val="00A01F97"/>
    <w:rsid w:val="00A0229D"/>
    <w:rsid w:val="00A023A0"/>
    <w:rsid w:val="00A03CF3"/>
    <w:rsid w:val="00A044E9"/>
    <w:rsid w:val="00A0461A"/>
    <w:rsid w:val="00A05432"/>
    <w:rsid w:val="00A05DFD"/>
    <w:rsid w:val="00A062DE"/>
    <w:rsid w:val="00A065C3"/>
    <w:rsid w:val="00A068B9"/>
    <w:rsid w:val="00A068DE"/>
    <w:rsid w:val="00A06ACE"/>
    <w:rsid w:val="00A07CFE"/>
    <w:rsid w:val="00A10555"/>
    <w:rsid w:val="00A10572"/>
    <w:rsid w:val="00A1177B"/>
    <w:rsid w:val="00A119F5"/>
    <w:rsid w:val="00A125DB"/>
    <w:rsid w:val="00A140AA"/>
    <w:rsid w:val="00A14C1E"/>
    <w:rsid w:val="00A154A4"/>
    <w:rsid w:val="00A1562B"/>
    <w:rsid w:val="00A15E5B"/>
    <w:rsid w:val="00A16362"/>
    <w:rsid w:val="00A16E62"/>
    <w:rsid w:val="00A170F4"/>
    <w:rsid w:val="00A1776C"/>
    <w:rsid w:val="00A2067F"/>
    <w:rsid w:val="00A20A1F"/>
    <w:rsid w:val="00A228C8"/>
    <w:rsid w:val="00A24325"/>
    <w:rsid w:val="00A2443B"/>
    <w:rsid w:val="00A24518"/>
    <w:rsid w:val="00A246A5"/>
    <w:rsid w:val="00A248FC"/>
    <w:rsid w:val="00A24C8E"/>
    <w:rsid w:val="00A25082"/>
    <w:rsid w:val="00A251A2"/>
    <w:rsid w:val="00A252AD"/>
    <w:rsid w:val="00A254AF"/>
    <w:rsid w:val="00A2556B"/>
    <w:rsid w:val="00A2559E"/>
    <w:rsid w:val="00A25674"/>
    <w:rsid w:val="00A2577D"/>
    <w:rsid w:val="00A25FD9"/>
    <w:rsid w:val="00A262B4"/>
    <w:rsid w:val="00A26888"/>
    <w:rsid w:val="00A300F5"/>
    <w:rsid w:val="00A30474"/>
    <w:rsid w:val="00A3053D"/>
    <w:rsid w:val="00A3099C"/>
    <w:rsid w:val="00A3147A"/>
    <w:rsid w:val="00A314A8"/>
    <w:rsid w:val="00A3151D"/>
    <w:rsid w:val="00A31F6D"/>
    <w:rsid w:val="00A3212B"/>
    <w:rsid w:val="00A3256C"/>
    <w:rsid w:val="00A33BF2"/>
    <w:rsid w:val="00A33F50"/>
    <w:rsid w:val="00A3421D"/>
    <w:rsid w:val="00A34387"/>
    <w:rsid w:val="00A35155"/>
    <w:rsid w:val="00A35824"/>
    <w:rsid w:val="00A35FBA"/>
    <w:rsid w:val="00A366DA"/>
    <w:rsid w:val="00A366E6"/>
    <w:rsid w:val="00A370BD"/>
    <w:rsid w:val="00A37159"/>
    <w:rsid w:val="00A40241"/>
    <w:rsid w:val="00A409B9"/>
    <w:rsid w:val="00A40AE4"/>
    <w:rsid w:val="00A413C9"/>
    <w:rsid w:val="00A41635"/>
    <w:rsid w:val="00A41D7D"/>
    <w:rsid w:val="00A42483"/>
    <w:rsid w:val="00A42990"/>
    <w:rsid w:val="00A42C61"/>
    <w:rsid w:val="00A4321A"/>
    <w:rsid w:val="00A43494"/>
    <w:rsid w:val="00A438E0"/>
    <w:rsid w:val="00A4392E"/>
    <w:rsid w:val="00A43F2F"/>
    <w:rsid w:val="00A441F5"/>
    <w:rsid w:val="00A4427A"/>
    <w:rsid w:val="00A443E2"/>
    <w:rsid w:val="00A44BD1"/>
    <w:rsid w:val="00A44C91"/>
    <w:rsid w:val="00A457D9"/>
    <w:rsid w:val="00A46BA8"/>
    <w:rsid w:val="00A46CD4"/>
    <w:rsid w:val="00A47634"/>
    <w:rsid w:val="00A47B7E"/>
    <w:rsid w:val="00A47D88"/>
    <w:rsid w:val="00A50651"/>
    <w:rsid w:val="00A50E9C"/>
    <w:rsid w:val="00A513BF"/>
    <w:rsid w:val="00A513D6"/>
    <w:rsid w:val="00A515BC"/>
    <w:rsid w:val="00A5199F"/>
    <w:rsid w:val="00A526E7"/>
    <w:rsid w:val="00A52C88"/>
    <w:rsid w:val="00A53813"/>
    <w:rsid w:val="00A53896"/>
    <w:rsid w:val="00A539D6"/>
    <w:rsid w:val="00A54373"/>
    <w:rsid w:val="00A544DF"/>
    <w:rsid w:val="00A56EA8"/>
    <w:rsid w:val="00A57475"/>
    <w:rsid w:val="00A600DA"/>
    <w:rsid w:val="00A603C9"/>
    <w:rsid w:val="00A60BF4"/>
    <w:rsid w:val="00A60C16"/>
    <w:rsid w:val="00A612FE"/>
    <w:rsid w:val="00A61FEA"/>
    <w:rsid w:val="00A622D6"/>
    <w:rsid w:val="00A6275B"/>
    <w:rsid w:val="00A62ECE"/>
    <w:rsid w:val="00A631B8"/>
    <w:rsid w:val="00A63F35"/>
    <w:rsid w:val="00A64055"/>
    <w:rsid w:val="00A640E9"/>
    <w:rsid w:val="00A6450C"/>
    <w:rsid w:val="00A65324"/>
    <w:rsid w:val="00A654D9"/>
    <w:rsid w:val="00A65B6B"/>
    <w:rsid w:val="00A65D4A"/>
    <w:rsid w:val="00A65DA4"/>
    <w:rsid w:val="00A66279"/>
    <w:rsid w:val="00A6646D"/>
    <w:rsid w:val="00A669D0"/>
    <w:rsid w:val="00A66AC8"/>
    <w:rsid w:val="00A66B7F"/>
    <w:rsid w:val="00A66E97"/>
    <w:rsid w:val="00A66F5A"/>
    <w:rsid w:val="00A6751D"/>
    <w:rsid w:val="00A67907"/>
    <w:rsid w:val="00A6793E"/>
    <w:rsid w:val="00A70F58"/>
    <w:rsid w:val="00A72015"/>
    <w:rsid w:val="00A72078"/>
    <w:rsid w:val="00A72384"/>
    <w:rsid w:val="00A72A68"/>
    <w:rsid w:val="00A72EBB"/>
    <w:rsid w:val="00A731D3"/>
    <w:rsid w:val="00A73207"/>
    <w:rsid w:val="00A73AD3"/>
    <w:rsid w:val="00A73B4F"/>
    <w:rsid w:val="00A73C65"/>
    <w:rsid w:val="00A740EA"/>
    <w:rsid w:val="00A74D7C"/>
    <w:rsid w:val="00A74F37"/>
    <w:rsid w:val="00A75467"/>
    <w:rsid w:val="00A76207"/>
    <w:rsid w:val="00A76996"/>
    <w:rsid w:val="00A77384"/>
    <w:rsid w:val="00A77BE3"/>
    <w:rsid w:val="00A77DA6"/>
    <w:rsid w:val="00A80461"/>
    <w:rsid w:val="00A809A9"/>
    <w:rsid w:val="00A80B99"/>
    <w:rsid w:val="00A817C0"/>
    <w:rsid w:val="00A823C4"/>
    <w:rsid w:val="00A8258A"/>
    <w:rsid w:val="00A82968"/>
    <w:rsid w:val="00A82D4E"/>
    <w:rsid w:val="00A82FEB"/>
    <w:rsid w:val="00A83CFD"/>
    <w:rsid w:val="00A83D31"/>
    <w:rsid w:val="00A83D5E"/>
    <w:rsid w:val="00A84CFC"/>
    <w:rsid w:val="00A85247"/>
    <w:rsid w:val="00A85BF2"/>
    <w:rsid w:val="00A86322"/>
    <w:rsid w:val="00A8684A"/>
    <w:rsid w:val="00A868E4"/>
    <w:rsid w:val="00A86E09"/>
    <w:rsid w:val="00A86F80"/>
    <w:rsid w:val="00A87490"/>
    <w:rsid w:val="00A87AA6"/>
    <w:rsid w:val="00A87E24"/>
    <w:rsid w:val="00A90363"/>
    <w:rsid w:val="00A9057D"/>
    <w:rsid w:val="00A9059A"/>
    <w:rsid w:val="00A90F9D"/>
    <w:rsid w:val="00A916A9"/>
    <w:rsid w:val="00A917D2"/>
    <w:rsid w:val="00A92321"/>
    <w:rsid w:val="00A926E6"/>
    <w:rsid w:val="00A92889"/>
    <w:rsid w:val="00A93740"/>
    <w:rsid w:val="00A9379A"/>
    <w:rsid w:val="00A9513D"/>
    <w:rsid w:val="00A96B9D"/>
    <w:rsid w:val="00A96D50"/>
    <w:rsid w:val="00A972E6"/>
    <w:rsid w:val="00A97FC3"/>
    <w:rsid w:val="00AA027E"/>
    <w:rsid w:val="00AA097B"/>
    <w:rsid w:val="00AA0E0B"/>
    <w:rsid w:val="00AA195F"/>
    <w:rsid w:val="00AA1E7E"/>
    <w:rsid w:val="00AA1F83"/>
    <w:rsid w:val="00AA2071"/>
    <w:rsid w:val="00AA20D4"/>
    <w:rsid w:val="00AA26B8"/>
    <w:rsid w:val="00AA2B44"/>
    <w:rsid w:val="00AA3588"/>
    <w:rsid w:val="00AA42BE"/>
    <w:rsid w:val="00AA42C5"/>
    <w:rsid w:val="00AA4A70"/>
    <w:rsid w:val="00AA4F01"/>
    <w:rsid w:val="00AA6B1F"/>
    <w:rsid w:val="00AA6C35"/>
    <w:rsid w:val="00AA6D6A"/>
    <w:rsid w:val="00AA6E83"/>
    <w:rsid w:val="00AA6FB5"/>
    <w:rsid w:val="00AA77C5"/>
    <w:rsid w:val="00AA7CD9"/>
    <w:rsid w:val="00AB0096"/>
    <w:rsid w:val="00AB0311"/>
    <w:rsid w:val="00AB04F6"/>
    <w:rsid w:val="00AB07D3"/>
    <w:rsid w:val="00AB0BFD"/>
    <w:rsid w:val="00AB0C8E"/>
    <w:rsid w:val="00AB0CBE"/>
    <w:rsid w:val="00AB1393"/>
    <w:rsid w:val="00AB1E7D"/>
    <w:rsid w:val="00AB2040"/>
    <w:rsid w:val="00AB25F8"/>
    <w:rsid w:val="00AB286B"/>
    <w:rsid w:val="00AB29D3"/>
    <w:rsid w:val="00AB2A5D"/>
    <w:rsid w:val="00AB34B7"/>
    <w:rsid w:val="00AB3B2B"/>
    <w:rsid w:val="00AB3D4C"/>
    <w:rsid w:val="00AB3FE2"/>
    <w:rsid w:val="00AB43BB"/>
    <w:rsid w:val="00AB46FA"/>
    <w:rsid w:val="00AB4A06"/>
    <w:rsid w:val="00AB4C85"/>
    <w:rsid w:val="00AB4C8D"/>
    <w:rsid w:val="00AB52C0"/>
    <w:rsid w:val="00AB64EC"/>
    <w:rsid w:val="00AB65D5"/>
    <w:rsid w:val="00AB671C"/>
    <w:rsid w:val="00AC0308"/>
    <w:rsid w:val="00AC0340"/>
    <w:rsid w:val="00AC0614"/>
    <w:rsid w:val="00AC0B3A"/>
    <w:rsid w:val="00AC0C3E"/>
    <w:rsid w:val="00AC0C4D"/>
    <w:rsid w:val="00AC122D"/>
    <w:rsid w:val="00AC150D"/>
    <w:rsid w:val="00AC1B6D"/>
    <w:rsid w:val="00AC1D07"/>
    <w:rsid w:val="00AC27D5"/>
    <w:rsid w:val="00AC2DC5"/>
    <w:rsid w:val="00AC32CB"/>
    <w:rsid w:val="00AC411E"/>
    <w:rsid w:val="00AC41AE"/>
    <w:rsid w:val="00AC4637"/>
    <w:rsid w:val="00AC5215"/>
    <w:rsid w:val="00AC560B"/>
    <w:rsid w:val="00AC573F"/>
    <w:rsid w:val="00AC5C46"/>
    <w:rsid w:val="00AC6404"/>
    <w:rsid w:val="00AC64CB"/>
    <w:rsid w:val="00AC69FC"/>
    <w:rsid w:val="00AC714F"/>
    <w:rsid w:val="00AD197F"/>
    <w:rsid w:val="00AD29B4"/>
    <w:rsid w:val="00AD2BB6"/>
    <w:rsid w:val="00AD2E85"/>
    <w:rsid w:val="00AD2F5B"/>
    <w:rsid w:val="00AD3322"/>
    <w:rsid w:val="00AD3943"/>
    <w:rsid w:val="00AD3FA5"/>
    <w:rsid w:val="00AD4BDC"/>
    <w:rsid w:val="00AD539E"/>
    <w:rsid w:val="00AD5F4F"/>
    <w:rsid w:val="00AD6762"/>
    <w:rsid w:val="00AD6903"/>
    <w:rsid w:val="00AD6A8F"/>
    <w:rsid w:val="00AD6C46"/>
    <w:rsid w:val="00AD700E"/>
    <w:rsid w:val="00AD7A33"/>
    <w:rsid w:val="00AD7DA0"/>
    <w:rsid w:val="00AD7E4E"/>
    <w:rsid w:val="00AD7F46"/>
    <w:rsid w:val="00AE096D"/>
    <w:rsid w:val="00AE0A37"/>
    <w:rsid w:val="00AE0BEF"/>
    <w:rsid w:val="00AE13D6"/>
    <w:rsid w:val="00AE17B9"/>
    <w:rsid w:val="00AE260E"/>
    <w:rsid w:val="00AE29AB"/>
    <w:rsid w:val="00AE2A91"/>
    <w:rsid w:val="00AE2CD5"/>
    <w:rsid w:val="00AE2D93"/>
    <w:rsid w:val="00AE31F3"/>
    <w:rsid w:val="00AE3259"/>
    <w:rsid w:val="00AE3318"/>
    <w:rsid w:val="00AE363A"/>
    <w:rsid w:val="00AE3AF6"/>
    <w:rsid w:val="00AE3B74"/>
    <w:rsid w:val="00AE4AD0"/>
    <w:rsid w:val="00AE4AE9"/>
    <w:rsid w:val="00AE5A0F"/>
    <w:rsid w:val="00AE69E1"/>
    <w:rsid w:val="00AE7197"/>
    <w:rsid w:val="00AE71B9"/>
    <w:rsid w:val="00AE72CC"/>
    <w:rsid w:val="00AE7543"/>
    <w:rsid w:val="00AF03B8"/>
    <w:rsid w:val="00AF068B"/>
    <w:rsid w:val="00AF10C5"/>
    <w:rsid w:val="00AF11FC"/>
    <w:rsid w:val="00AF2127"/>
    <w:rsid w:val="00AF21FE"/>
    <w:rsid w:val="00AF229B"/>
    <w:rsid w:val="00AF2B58"/>
    <w:rsid w:val="00AF3278"/>
    <w:rsid w:val="00AF32F6"/>
    <w:rsid w:val="00AF34DE"/>
    <w:rsid w:val="00AF4D58"/>
    <w:rsid w:val="00AF524C"/>
    <w:rsid w:val="00AF54C7"/>
    <w:rsid w:val="00AF5877"/>
    <w:rsid w:val="00AF595B"/>
    <w:rsid w:val="00AF5975"/>
    <w:rsid w:val="00AF5B97"/>
    <w:rsid w:val="00AF5EBE"/>
    <w:rsid w:val="00AF5FF4"/>
    <w:rsid w:val="00AF6666"/>
    <w:rsid w:val="00AF66AF"/>
    <w:rsid w:val="00AF6BF2"/>
    <w:rsid w:val="00AF6FC9"/>
    <w:rsid w:val="00B001C7"/>
    <w:rsid w:val="00B00837"/>
    <w:rsid w:val="00B011BC"/>
    <w:rsid w:val="00B01CC5"/>
    <w:rsid w:val="00B031DF"/>
    <w:rsid w:val="00B037F5"/>
    <w:rsid w:val="00B03CAD"/>
    <w:rsid w:val="00B03DF1"/>
    <w:rsid w:val="00B04CC1"/>
    <w:rsid w:val="00B0510A"/>
    <w:rsid w:val="00B05509"/>
    <w:rsid w:val="00B05AE6"/>
    <w:rsid w:val="00B05B02"/>
    <w:rsid w:val="00B0669D"/>
    <w:rsid w:val="00B06880"/>
    <w:rsid w:val="00B072B7"/>
    <w:rsid w:val="00B073B8"/>
    <w:rsid w:val="00B07B50"/>
    <w:rsid w:val="00B07F14"/>
    <w:rsid w:val="00B07FCA"/>
    <w:rsid w:val="00B10154"/>
    <w:rsid w:val="00B105F5"/>
    <w:rsid w:val="00B10831"/>
    <w:rsid w:val="00B1089C"/>
    <w:rsid w:val="00B10BE1"/>
    <w:rsid w:val="00B11111"/>
    <w:rsid w:val="00B1289D"/>
    <w:rsid w:val="00B12A1F"/>
    <w:rsid w:val="00B136D0"/>
    <w:rsid w:val="00B13A2B"/>
    <w:rsid w:val="00B13AF8"/>
    <w:rsid w:val="00B14046"/>
    <w:rsid w:val="00B140A7"/>
    <w:rsid w:val="00B14744"/>
    <w:rsid w:val="00B14F59"/>
    <w:rsid w:val="00B15DA4"/>
    <w:rsid w:val="00B16D27"/>
    <w:rsid w:val="00B17387"/>
    <w:rsid w:val="00B17966"/>
    <w:rsid w:val="00B17AF6"/>
    <w:rsid w:val="00B206E6"/>
    <w:rsid w:val="00B2146B"/>
    <w:rsid w:val="00B21FE8"/>
    <w:rsid w:val="00B23433"/>
    <w:rsid w:val="00B247E0"/>
    <w:rsid w:val="00B24EB7"/>
    <w:rsid w:val="00B26853"/>
    <w:rsid w:val="00B269DB"/>
    <w:rsid w:val="00B27086"/>
    <w:rsid w:val="00B27975"/>
    <w:rsid w:val="00B304AD"/>
    <w:rsid w:val="00B30523"/>
    <w:rsid w:val="00B30793"/>
    <w:rsid w:val="00B309CC"/>
    <w:rsid w:val="00B31574"/>
    <w:rsid w:val="00B31B02"/>
    <w:rsid w:val="00B320AF"/>
    <w:rsid w:val="00B32281"/>
    <w:rsid w:val="00B324D2"/>
    <w:rsid w:val="00B3255A"/>
    <w:rsid w:val="00B3274F"/>
    <w:rsid w:val="00B346F4"/>
    <w:rsid w:val="00B35DD1"/>
    <w:rsid w:val="00B36610"/>
    <w:rsid w:val="00B367BA"/>
    <w:rsid w:val="00B3718B"/>
    <w:rsid w:val="00B41269"/>
    <w:rsid w:val="00B41667"/>
    <w:rsid w:val="00B419B8"/>
    <w:rsid w:val="00B41D2A"/>
    <w:rsid w:val="00B420B8"/>
    <w:rsid w:val="00B42BCC"/>
    <w:rsid w:val="00B431E8"/>
    <w:rsid w:val="00B450C4"/>
    <w:rsid w:val="00B451D2"/>
    <w:rsid w:val="00B453E0"/>
    <w:rsid w:val="00B46D38"/>
    <w:rsid w:val="00B471D2"/>
    <w:rsid w:val="00B50213"/>
    <w:rsid w:val="00B50F2B"/>
    <w:rsid w:val="00B51149"/>
    <w:rsid w:val="00B51DD6"/>
    <w:rsid w:val="00B52359"/>
    <w:rsid w:val="00B52441"/>
    <w:rsid w:val="00B525D6"/>
    <w:rsid w:val="00B528CA"/>
    <w:rsid w:val="00B52C7D"/>
    <w:rsid w:val="00B537CC"/>
    <w:rsid w:val="00B544B1"/>
    <w:rsid w:val="00B54C1D"/>
    <w:rsid w:val="00B555FE"/>
    <w:rsid w:val="00B55DCD"/>
    <w:rsid w:val="00B56623"/>
    <w:rsid w:val="00B57C00"/>
    <w:rsid w:val="00B57FC5"/>
    <w:rsid w:val="00B60FAF"/>
    <w:rsid w:val="00B6151F"/>
    <w:rsid w:val="00B619A0"/>
    <w:rsid w:val="00B61D3E"/>
    <w:rsid w:val="00B61E40"/>
    <w:rsid w:val="00B6265B"/>
    <w:rsid w:val="00B63356"/>
    <w:rsid w:val="00B638A2"/>
    <w:rsid w:val="00B63EFC"/>
    <w:rsid w:val="00B6429B"/>
    <w:rsid w:val="00B64686"/>
    <w:rsid w:val="00B649B9"/>
    <w:rsid w:val="00B65110"/>
    <w:rsid w:val="00B65725"/>
    <w:rsid w:val="00B6609B"/>
    <w:rsid w:val="00B70BFF"/>
    <w:rsid w:val="00B70DFB"/>
    <w:rsid w:val="00B71318"/>
    <w:rsid w:val="00B71C68"/>
    <w:rsid w:val="00B71D08"/>
    <w:rsid w:val="00B72A86"/>
    <w:rsid w:val="00B72C73"/>
    <w:rsid w:val="00B72DC4"/>
    <w:rsid w:val="00B74764"/>
    <w:rsid w:val="00B74AA9"/>
    <w:rsid w:val="00B74AEA"/>
    <w:rsid w:val="00B74E07"/>
    <w:rsid w:val="00B75018"/>
    <w:rsid w:val="00B75EF7"/>
    <w:rsid w:val="00B76049"/>
    <w:rsid w:val="00B763EE"/>
    <w:rsid w:val="00B76561"/>
    <w:rsid w:val="00B76669"/>
    <w:rsid w:val="00B80147"/>
    <w:rsid w:val="00B804E9"/>
    <w:rsid w:val="00B809B6"/>
    <w:rsid w:val="00B80CED"/>
    <w:rsid w:val="00B81442"/>
    <w:rsid w:val="00B815F2"/>
    <w:rsid w:val="00B8167F"/>
    <w:rsid w:val="00B81B44"/>
    <w:rsid w:val="00B81BFA"/>
    <w:rsid w:val="00B821B8"/>
    <w:rsid w:val="00B828DB"/>
    <w:rsid w:val="00B8304A"/>
    <w:rsid w:val="00B830EF"/>
    <w:rsid w:val="00B8347B"/>
    <w:rsid w:val="00B83EC4"/>
    <w:rsid w:val="00B84A93"/>
    <w:rsid w:val="00B84C44"/>
    <w:rsid w:val="00B84DB1"/>
    <w:rsid w:val="00B854E8"/>
    <w:rsid w:val="00B8612D"/>
    <w:rsid w:val="00B864F2"/>
    <w:rsid w:val="00B86A90"/>
    <w:rsid w:val="00B879F2"/>
    <w:rsid w:val="00B87AEF"/>
    <w:rsid w:val="00B9053B"/>
    <w:rsid w:val="00B906D3"/>
    <w:rsid w:val="00B91102"/>
    <w:rsid w:val="00B911CE"/>
    <w:rsid w:val="00B91F34"/>
    <w:rsid w:val="00B920E0"/>
    <w:rsid w:val="00B921DF"/>
    <w:rsid w:val="00B922F7"/>
    <w:rsid w:val="00B93103"/>
    <w:rsid w:val="00B939D5"/>
    <w:rsid w:val="00B93DE7"/>
    <w:rsid w:val="00B9492A"/>
    <w:rsid w:val="00B94AE7"/>
    <w:rsid w:val="00B955CB"/>
    <w:rsid w:val="00B95656"/>
    <w:rsid w:val="00B95963"/>
    <w:rsid w:val="00B96345"/>
    <w:rsid w:val="00B96381"/>
    <w:rsid w:val="00B9660E"/>
    <w:rsid w:val="00B96E69"/>
    <w:rsid w:val="00B97DF1"/>
    <w:rsid w:val="00BA1D0D"/>
    <w:rsid w:val="00BA24AA"/>
    <w:rsid w:val="00BA2D01"/>
    <w:rsid w:val="00BA37A5"/>
    <w:rsid w:val="00BA3D99"/>
    <w:rsid w:val="00BA52F1"/>
    <w:rsid w:val="00BA5790"/>
    <w:rsid w:val="00BA5CFE"/>
    <w:rsid w:val="00BA617D"/>
    <w:rsid w:val="00BA66C4"/>
    <w:rsid w:val="00BB0225"/>
    <w:rsid w:val="00BB0A7D"/>
    <w:rsid w:val="00BB0DF8"/>
    <w:rsid w:val="00BB1954"/>
    <w:rsid w:val="00BB1DD0"/>
    <w:rsid w:val="00BB1F15"/>
    <w:rsid w:val="00BB21FF"/>
    <w:rsid w:val="00BB247E"/>
    <w:rsid w:val="00BB2BC9"/>
    <w:rsid w:val="00BB311C"/>
    <w:rsid w:val="00BB3CE9"/>
    <w:rsid w:val="00BB4042"/>
    <w:rsid w:val="00BB42BC"/>
    <w:rsid w:val="00BB4CC5"/>
    <w:rsid w:val="00BB5D0C"/>
    <w:rsid w:val="00BB5EED"/>
    <w:rsid w:val="00BB5F54"/>
    <w:rsid w:val="00BB6320"/>
    <w:rsid w:val="00BB660E"/>
    <w:rsid w:val="00BB69CB"/>
    <w:rsid w:val="00BB6B1F"/>
    <w:rsid w:val="00BB6D62"/>
    <w:rsid w:val="00BB7767"/>
    <w:rsid w:val="00BB7E1C"/>
    <w:rsid w:val="00BC0AFC"/>
    <w:rsid w:val="00BC0E4C"/>
    <w:rsid w:val="00BC317D"/>
    <w:rsid w:val="00BC3422"/>
    <w:rsid w:val="00BC37FD"/>
    <w:rsid w:val="00BC3FD3"/>
    <w:rsid w:val="00BC4181"/>
    <w:rsid w:val="00BC419B"/>
    <w:rsid w:val="00BC4DF7"/>
    <w:rsid w:val="00BC5424"/>
    <w:rsid w:val="00BC677E"/>
    <w:rsid w:val="00BC6C4B"/>
    <w:rsid w:val="00BC7130"/>
    <w:rsid w:val="00BC74BE"/>
    <w:rsid w:val="00BC7729"/>
    <w:rsid w:val="00BD0043"/>
    <w:rsid w:val="00BD05A6"/>
    <w:rsid w:val="00BD0805"/>
    <w:rsid w:val="00BD08BB"/>
    <w:rsid w:val="00BD122C"/>
    <w:rsid w:val="00BD131A"/>
    <w:rsid w:val="00BD1905"/>
    <w:rsid w:val="00BD1E4E"/>
    <w:rsid w:val="00BD1FFD"/>
    <w:rsid w:val="00BD2120"/>
    <w:rsid w:val="00BD2704"/>
    <w:rsid w:val="00BD28D2"/>
    <w:rsid w:val="00BD414F"/>
    <w:rsid w:val="00BD42EE"/>
    <w:rsid w:val="00BD43C5"/>
    <w:rsid w:val="00BD4BE3"/>
    <w:rsid w:val="00BD515E"/>
    <w:rsid w:val="00BD568C"/>
    <w:rsid w:val="00BD621E"/>
    <w:rsid w:val="00BD687F"/>
    <w:rsid w:val="00BD6F05"/>
    <w:rsid w:val="00BD7292"/>
    <w:rsid w:val="00BE06E1"/>
    <w:rsid w:val="00BE1AE6"/>
    <w:rsid w:val="00BE1E81"/>
    <w:rsid w:val="00BE1FE4"/>
    <w:rsid w:val="00BE2361"/>
    <w:rsid w:val="00BE2864"/>
    <w:rsid w:val="00BE2897"/>
    <w:rsid w:val="00BE3755"/>
    <w:rsid w:val="00BE3BA9"/>
    <w:rsid w:val="00BE3BDA"/>
    <w:rsid w:val="00BE3DAC"/>
    <w:rsid w:val="00BE40FF"/>
    <w:rsid w:val="00BE464C"/>
    <w:rsid w:val="00BE4DAB"/>
    <w:rsid w:val="00BE521B"/>
    <w:rsid w:val="00BE5346"/>
    <w:rsid w:val="00BE592A"/>
    <w:rsid w:val="00BE5E0E"/>
    <w:rsid w:val="00BE6012"/>
    <w:rsid w:val="00BE6D64"/>
    <w:rsid w:val="00BE6DA3"/>
    <w:rsid w:val="00BE6E66"/>
    <w:rsid w:val="00BE6F75"/>
    <w:rsid w:val="00BE7727"/>
    <w:rsid w:val="00BF021E"/>
    <w:rsid w:val="00BF0356"/>
    <w:rsid w:val="00BF17FB"/>
    <w:rsid w:val="00BF1CB5"/>
    <w:rsid w:val="00BF1FB7"/>
    <w:rsid w:val="00BF2445"/>
    <w:rsid w:val="00BF258D"/>
    <w:rsid w:val="00BF29FA"/>
    <w:rsid w:val="00BF2BA1"/>
    <w:rsid w:val="00BF33BE"/>
    <w:rsid w:val="00BF33D8"/>
    <w:rsid w:val="00BF3DDD"/>
    <w:rsid w:val="00BF3E60"/>
    <w:rsid w:val="00BF44C4"/>
    <w:rsid w:val="00BF452D"/>
    <w:rsid w:val="00BF4AF1"/>
    <w:rsid w:val="00BF4E03"/>
    <w:rsid w:val="00BF5131"/>
    <w:rsid w:val="00BF52EB"/>
    <w:rsid w:val="00BF5903"/>
    <w:rsid w:val="00BF6DCA"/>
    <w:rsid w:val="00BF7096"/>
    <w:rsid w:val="00BF7CF3"/>
    <w:rsid w:val="00C005C7"/>
    <w:rsid w:val="00C00737"/>
    <w:rsid w:val="00C008A1"/>
    <w:rsid w:val="00C00FC1"/>
    <w:rsid w:val="00C015B9"/>
    <w:rsid w:val="00C020FF"/>
    <w:rsid w:val="00C022F9"/>
    <w:rsid w:val="00C02AED"/>
    <w:rsid w:val="00C02CEC"/>
    <w:rsid w:val="00C032EA"/>
    <w:rsid w:val="00C035EA"/>
    <w:rsid w:val="00C036AC"/>
    <w:rsid w:val="00C03A9A"/>
    <w:rsid w:val="00C03FDC"/>
    <w:rsid w:val="00C04373"/>
    <w:rsid w:val="00C04AB6"/>
    <w:rsid w:val="00C04EC7"/>
    <w:rsid w:val="00C0528F"/>
    <w:rsid w:val="00C0536A"/>
    <w:rsid w:val="00C053FB"/>
    <w:rsid w:val="00C05550"/>
    <w:rsid w:val="00C0641A"/>
    <w:rsid w:val="00C06AAA"/>
    <w:rsid w:val="00C06C7A"/>
    <w:rsid w:val="00C06EB5"/>
    <w:rsid w:val="00C06F9D"/>
    <w:rsid w:val="00C103A8"/>
    <w:rsid w:val="00C1051F"/>
    <w:rsid w:val="00C108B5"/>
    <w:rsid w:val="00C10FD4"/>
    <w:rsid w:val="00C111A5"/>
    <w:rsid w:val="00C1145F"/>
    <w:rsid w:val="00C11FF3"/>
    <w:rsid w:val="00C123C6"/>
    <w:rsid w:val="00C12611"/>
    <w:rsid w:val="00C132A0"/>
    <w:rsid w:val="00C135E4"/>
    <w:rsid w:val="00C140F6"/>
    <w:rsid w:val="00C14286"/>
    <w:rsid w:val="00C14309"/>
    <w:rsid w:val="00C14E3D"/>
    <w:rsid w:val="00C1532C"/>
    <w:rsid w:val="00C157F4"/>
    <w:rsid w:val="00C15AD7"/>
    <w:rsid w:val="00C15DD0"/>
    <w:rsid w:val="00C16E74"/>
    <w:rsid w:val="00C1738C"/>
    <w:rsid w:val="00C20323"/>
    <w:rsid w:val="00C20D4F"/>
    <w:rsid w:val="00C2167F"/>
    <w:rsid w:val="00C21C94"/>
    <w:rsid w:val="00C21D1C"/>
    <w:rsid w:val="00C22489"/>
    <w:rsid w:val="00C2316E"/>
    <w:rsid w:val="00C23608"/>
    <w:rsid w:val="00C2396E"/>
    <w:rsid w:val="00C23A36"/>
    <w:rsid w:val="00C23D79"/>
    <w:rsid w:val="00C23F1A"/>
    <w:rsid w:val="00C241C5"/>
    <w:rsid w:val="00C255E8"/>
    <w:rsid w:val="00C26621"/>
    <w:rsid w:val="00C2772F"/>
    <w:rsid w:val="00C27C31"/>
    <w:rsid w:val="00C304AA"/>
    <w:rsid w:val="00C31026"/>
    <w:rsid w:val="00C323D0"/>
    <w:rsid w:val="00C325B4"/>
    <w:rsid w:val="00C33245"/>
    <w:rsid w:val="00C335D5"/>
    <w:rsid w:val="00C337C5"/>
    <w:rsid w:val="00C33EAC"/>
    <w:rsid w:val="00C34257"/>
    <w:rsid w:val="00C34276"/>
    <w:rsid w:val="00C34298"/>
    <w:rsid w:val="00C34631"/>
    <w:rsid w:val="00C34E06"/>
    <w:rsid w:val="00C36089"/>
    <w:rsid w:val="00C3651C"/>
    <w:rsid w:val="00C36A06"/>
    <w:rsid w:val="00C36B67"/>
    <w:rsid w:val="00C36F4A"/>
    <w:rsid w:val="00C3772E"/>
    <w:rsid w:val="00C377F7"/>
    <w:rsid w:val="00C37A30"/>
    <w:rsid w:val="00C403D3"/>
    <w:rsid w:val="00C40B62"/>
    <w:rsid w:val="00C41425"/>
    <w:rsid w:val="00C4167E"/>
    <w:rsid w:val="00C41B5A"/>
    <w:rsid w:val="00C42849"/>
    <w:rsid w:val="00C42A95"/>
    <w:rsid w:val="00C42C48"/>
    <w:rsid w:val="00C43384"/>
    <w:rsid w:val="00C435C9"/>
    <w:rsid w:val="00C439B3"/>
    <w:rsid w:val="00C449A1"/>
    <w:rsid w:val="00C449B6"/>
    <w:rsid w:val="00C44ABC"/>
    <w:rsid w:val="00C4528F"/>
    <w:rsid w:val="00C45439"/>
    <w:rsid w:val="00C45B1D"/>
    <w:rsid w:val="00C46577"/>
    <w:rsid w:val="00C47B06"/>
    <w:rsid w:val="00C502F3"/>
    <w:rsid w:val="00C50721"/>
    <w:rsid w:val="00C50FE9"/>
    <w:rsid w:val="00C51049"/>
    <w:rsid w:val="00C51717"/>
    <w:rsid w:val="00C51B36"/>
    <w:rsid w:val="00C51E2A"/>
    <w:rsid w:val="00C52075"/>
    <w:rsid w:val="00C543EE"/>
    <w:rsid w:val="00C552E2"/>
    <w:rsid w:val="00C55342"/>
    <w:rsid w:val="00C55376"/>
    <w:rsid w:val="00C5581B"/>
    <w:rsid w:val="00C561B9"/>
    <w:rsid w:val="00C56BB3"/>
    <w:rsid w:val="00C571EE"/>
    <w:rsid w:val="00C57C06"/>
    <w:rsid w:val="00C57E0A"/>
    <w:rsid w:val="00C57F1B"/>
    <w:rsid w:val="00C60299"/>
    <w:rsid w:val="00C60DB4"/>
    <w:rsid w:val="00C61384"/>
    <w:rsid w:val="00C61C44"/>
    <w:rsid w:val="00C61DA3"/>
    <w:rsid w:val="00C628AA"/>
    <w:rsid w:val="00C62C8E"/>
    <w:rsid w:val="00C62F85"/>
    <w:rsid w:val="00C637E1"/>
    <w:rsid w:val="00C6421A"/>
    <w:rsid w:val="00C64733"/>
    <w:rsid w:val="00C6484F"/>
    <w:rsid w:val="00C653AC"/>
    <w:rsid w:val="00C6549D"/>
    <w:rsid w:val="00C65524"/>
    <w:rsid w:val="00C66606"/>
    <w:rsid w:val="00C6661F"/>
    <w:rsid w:val="00C67D81"/>
    <w:rsid w:val="00C706C2"/>
    <w:rsid w:val="00C70D50"/>
    <w:rsid w:val="00C70FC7"/>
    <w:rsid w:val="00C74A4E"/>
    <w:rsid w:val="00C74AE2"/>
    <w:rsid w:val="00C755B1"/>
    <w:rsid w:val="00C75A06"/>
    <w:rsid w:val="00C76947"/>
    <w:rsid w:val="00C77098"/>
    <w:rsid w:val="00C777C2"/>
    <w:rsid w:val="00C778CD"/>
    <w:rsid w:val="00C802BF"/>
    <w:rsid w:val="00C80A93"/>
    <w:rsid w:val="00C80D61"/>
    <w:rsid w:val="00C80EE5"/>
    <w:rsid w:val="00C8230E"/>
    <w:rsid w:val="00C8243E"/>
    <w:rsid w:val="00C829A9"/>
    <w:rsid w:val="00C82F18"/>
    <w:rsid w:val="00C83624"/>
    <w:rsid w:val="00C83CDA"/>
    <w:rsid w:val="00C841D8"/>
    <w:rsid w:val="00C843D0"/>
    <w:rsid w:val="00C84BF9"/>
    <w:rsid w:val="00C854F5"/>
    <w:rsid w:val="00C86E75"/>
    <w:rsid w:val="00C876FA"/>
    <w:rsid w:val="00C87CEE"/>
    <w:rsid w:val="00C9060C"/>
    <w:rsid w:val="00C90756"/>
    <w:rsid w:val="00C907D7"/>
    <w:rsid w:val="00C90F4A"/>
    <w:rsid w:val="00C917E6"/>
    <w:rsid w:val="00C92338"/>
    <w:rsid w:val="00C92941"/>
    <w:rsid w:val="00C933E1"/>
    <w:rsid w:val="00C93D2F"/>
    <w:rsid w:val="00C95736"/>
    <w:rsid w:val="00C95C92"/>
    <w:rsid w:val="00C95E58"/>
    <w:rsid w:val="00C95EBF"/>
    <w:rsid w:val="00C960DA"/>
    <w:rsid w:val="00C9672B"/>
    <w:rsid w:val="00C9739F"/>
    <w:rsid w:val="00C9776B"/>
    <w:rsid w:val="00C9788B"/>
    <w:rsid w:val="00C979B5"/>
    <w:rsid w:val="00C979CC"/>
    <w:rsid w:val="00CA004C"/>
    <w:rsid w:val="00CA035A"/>
    <w:rsid w:val="00CA08B0"/>
    <w:rsid w:val="00CA094B"/>
    <w:rsid w:val="00CA0B5B"/>
    <w:rsid w:val="00CA0C11"/>
    <w:rsid w:val="00CA0DF7"/>
    <w:rsid w:val="00CA17F3"/>
    <w:rsid w:val="00CA1BEB"/>
    <w:rsid w:val="00CA24D2"/>
    <w:rsid w:val="00CA2AFF"/>
    <w:rsid w:val="00CA2C6C"/>
    <w:rsid w:val="00CA3DC8"/>
    <w:rsid w:val="00CA4306"/>
    <w:rsid w:val="00CA4566"/>
    <w:rsid w:val="00CA45C4"/>
    <w:rsid w:val="00CA468B"/>
    <w:rsid w:val="00CA4AF4"/>
    <w:rsid w:val="00CA506D"/>
    <w:rsid w:val="00CA5546"/>
    <w:rsid w:val="00CA59A8"/>
    <w:rsid w:val="00CA5AF2"/>
    <w:rsid w:val="00CA5D80"/>
    <w:rsid w:val="00CA6352"/>
    <w:rsid w:val="00CA66E4"/>
    <w:rsid w:val="00CA79C6"/>
    <w:rsid w:val="00CA7A78"/>
    <w:rsid w:val="00CA7C3A"/>
    <w:rsid w:val="00CB00E7"/>
    <w:rsid w:val="00CB01CB"/>
    <w:rsid w:val="00CB0BBB"/>
    <w:rsid w:val="00CB0F5B"/>
    <w:rsid w:val="00CB1643"/>
    <w:rsid w:val="00CB1677"/>
    <w:rsid w:val="00CB1814"/>
    <w:rsid w:val="00CB1C73"/>
    <w:rsid w:val="00CB1F63"/>
    <w:rsid w:val="00CB1F7C"/>
    <w:rsid w:val="00CB21C7"/>
    <w:rsid w:val="00CB2471"/>
    <w:rsid w:val="00CB2997"/>
    <w:rsid w:val="00CB2F1C"/>
    <w:rsid w:val="00CB4074"/>
    <w:rsid w:val="00CB4282"/>
    <w:rsid w:val="00CB49B6"/>
    <w:rsid w:val="00CB540B"/>
    <w:rsid w:val="00CB5B53"/>
    <w:rsid w:val="00CB5C3E"/>
    <w:rsid w:val="00CB5FAB"/>
    <w:rsid w:val="00CB6364"/>
    <w:rsid w:val="00CB6478"/>
    <w:rsid w:val="00CB699C"/>
    <w:rsid w:val="00CB7478"/>
    <w:rsid w:val="00CB7646"/>
    <w:rsid w:val="00CB7689"/>
    <w:rsid w:val="00CC0196"/>
    <w:rsid w:val="00CC02E9"/>
    <w:rsid w:val="00CC0F44"/>
    <w:rsid w:val="00CC1898"/>
    <w:rsid w:val="00CC18CF"/>
    <w:rsid w:val="00CC20C7"/>
    <w:rsid w:val="00CC2130"/>
    <w:rsid w:val="00CC24A5"/>
    <w:rsid w:val="00CC24CC"/>
    <w:rsid w:val="00CC2DB2"/>
    <w:rsid w:val="00CC3C60"/>
    <w:rsid w:val="00CC3D28"/>
    <w:rsid w:val="00CC48AE"/>
    <w:rsid w:val="00CC4C79"/>
    <w:rsid w:val="00CC524D"/>
    <w:rsid w:val="00CC5CB3"/>
    <w:rsid w:val="00CD00E9"/>
    <w:rsid w:val="00CD0307"/>
    <w:rsid w:val="00CD05F1"/>
    <w:rsid w:val="00CD0670"/>
    <w:rsid w:val="00CD07EB"/>
    <w:rsid w:val="00CD09F8"/>
    <w:rsid w:val="00CD1980"/>
    <w:rsid w:val="00CD1B23"/>
    <w:rsid w:val="00CD1D65"/>
    <w:rsid w:val="00CD1F1F"/>
    <w:rsid w:val="00CD24BA"/>
    <w:rsid w:val="00CD29D7"/>
    <w:rsid w:val="00CD2B64"/>
    <w:rsid w:val="00CD2C98"/>
    <w:rsid w:val="00CD2FD2"/>
    <w:rsid w:val="00CD3D1B"/>
    <w:rsid w:val="00CD4AFD"/>
    <w:rsid w:val="00CD53DC"/>
    <w:rsid w:val="00CD54AE"/>
    <w:rsid w:val="00CD5AC0"/>
    <w:rsid w:val="00CD5B42"/>
    <w:rsid w:val="00CD5E79"/>
    <w:rsid w:val="00CD6743"/>
    <w:rsid w:val="00CD6847"/>
    <w:rsid w:val="00CD715D"/>
    <w:rsid w:val="00CD752F"/>
    <w:rsid w:val="00CD7638"/>
    <w:rsid w:val="00CE013C"/>
    <w:rsid w:val="00CE0C00"/>
    <w:rsid w:val="00CE10AE"/>
    <w:rsid w:val="00CE11A1"/>
    <w:rsid w:val="00CE145A"/>
    <w:rsid w:val="00CE27FD"/>
    <w:rsid w:val="00CE2F19"/>
    <w:rsid w:val="00CE38ED"/>
    <w:rsid w:val="00CE3D81"/>
    <w:rsid w:val="00CE43DE"/>
    <w:rsid w:val="00CE4FF9"/>
    <w:rsid w:val="00CE5046"/>
    <w:rsid w:val="00CE5118"/>
    <w:rsid w:val="00CE5552"/>
    <w:rsid w:val="00CE62B3"/>
    <w:rsid w:val="00CF03A3"/>
    <w:rsid w:val="00CF05F5"/>
    <w:rsid w:val="00CF0642"/>
    <w:rsid w:val="00CF0ABF"/>
    <w:rsid w:val="00CF0D76"/>
    <w:rsid w:val="00CF1079"/>
    <w:rsid w:val="00CF114C"/>
    <w:rsid w:val="00CF184B"/>
    <w:rsid w:val="00CF20A7"/>
    <w:rsid w:val="00CF27B3"/>
    <w:rsid w:val="00CF2D2B"/>
    <w:rsid w:val="00CF2D36"/>
    <w:rsid w:val="00CF2EAB"/>
    <w:rsid w:val="00CF2FCB"/>
    <w:rsid w:val="00CF30EF"/>
    <w:rsid w:val="00CF320B"/>
    <w:rsid w:val="00CF3958"/>
    <w:rsid w:val="00CF43D4"/>
    <w:rsid w:val="00CF5C6B"/>
    <w:rsid w:val="00CF6385"/>
    <w:rsid w:val="00CF78E4"/>
    <w:rsid w:val="00CF79AD"/>
    <w:rsid w:val="00CF7DCA"/>
    <w:rsid w:val="00D00235"/>
    <w:rsid w:val="00D007FB"/>
    <w:rsid w:val="00D00B7D"/>
    <w:rsid w:val="00D00C4D"/>
    <w:rsid w:val="00D016D4"/>
    <w:rsid w:val="00D03B90"/>
    <w:rsid w:val="00D04319"/>
    <w:rsid w:val="00D04C88"/>
    <w:rsid w:val="00D05143"/>
    <w:rsid w:val="00D052EC"/>
    <w:rsid w:val="00D0530B"/>
    <w:rsid w:val="00D058EB"/>
    <w:rsid w:val="00D05951"/>
    <w:rsid w:val="00D05CC6"/>
    <w:rsid w:val="00D060B6"/>
    <w:rsid w:val="00D069A2"/>
    <w:rsid w:val="00D072BD"/>
    <w:rsid w:val="00D0735A"/>
    <w:rsid w:val="00D078B7"/>
    <w:rsid w:val="00D1021D"/>
    <w:rsid w:val="00D10B06"/>
    <w:rsid w:val="00D11D3A"/>
    <w:rsid w:val="00D12239"/>
    <w:rsid w:val="00D1291F"/>
    <w:rsid w:val="00D12EB7"/>
    <w:rsid w:val="00D131D9"/>
    <w:rsid w:val="00D138E4"/>
    <w:rsid w:val="00D144E5"/>
    <w:rsid w:val="00D15797"/>
    <w:rsid w:val="00D1598A"/>
    <w:rsid w:val="00D15EA9"/>
    <w:rsid w:val="00D165CB"/>
    <w:rsid w:val="00D17641"/>
    <w:rsid w:val="00D17A85"/>
    <w:rsid w:val="00D17B6E"/>
    <w:rsid w:val="00D17DB9"/>
    <w:rsid w:val="00D17ED7"/>
    <w:rsid w:val="00D201AD"/>
    <w:rsid w:val="00D20DF0"/>
    <w:rsid w:val="00D211E9"/>
    <w:rsid w:val="00D21303"/>
    <w:rsid w:val="00D218FB"/>
    <w:rsid w:val="00D21AF1"/>
    <w:rsid w:val="00D22ABB"/>
    <w:rsid w:val="00D2312F"/>
    <w:rsid w:val="00D233B0"/>
    <w:rsid w:val="00D234F0"/>
    <w:rsid w:val="00D237C2"/>
    <w:rsid w:val="00D240EA"/>
    <w:rsid w:val="00D24F24"/>
    <w:rsid w:val="00D2587C"/>
    <w:rsid w:val="00D25902"/>
    <w:rsid w:val="00D26025"/>
    <w:rsid w:val="00D260D4"/>
    <w:rsid w:val="00D269C1"/>
    <w:rsid w:val="00D26EDD"/>
    <w:rsid w:val="00D272AC"/>
    <w:rsid w:val="00D27942"/>
    <w:rsid w:val="00D30825"/>
    <w:rsid w:val="00D30C97"/>
    <w:rsid w:val="00D30E9A"/>
    <w:rsid w:val="00D3180A"/>
    <w:rsid w:val="00D33734"/>
    <w:rsid w:val="00D3375B"/>
    <w:rsid w:val="00D33A18"/>
    <w:rsid w:val="00D40949"/>
    <w:rsid w:val="00D409CB"/>
    <w:rsid w:val="00D40AE4"/>
    <w:rsid w:val="00D40AEA"/>
    <w:rsid w:val="00D410C0"/>
    <w:rsid w:val="00D414B2"/>
    <w:rsid w:val="00D41797"/>
    <w:rsid w:val="00D41EBB"/>
    <w:rsid w:val="00D4224A"/>
    <w:rsid w:val="00D440FD"/>
    <w:rsid w:val="00D44334"/>
    <w:rsid w:val="00D447D4"/>
    <w:rsid w:val="00D44953"/>
    <w:rsid w:val="00D44CCE"/>
    <w:rsid w:val="00D44E5C"/>
    <w:rsid w:val="00D45626"/>
    <w:rsid w:val="00D459A9"/>
    <w:rsid w:val="00D4604D"/>
    <w:rsid w:val="00D460DB"/>
    <w:rsid w:val="00D50B4A"/>
    <w:rsid w:val="00D50E30"/>
    <w:rsid w:val="00D512BE"/>
    <w:rsid w:val="00D521D6"/>
    <w:rsid w:val="00D524C7"/>
    <w:rsid w:val="00D52D76"/>
    <w:rsid w:val="00D537BF"/>
    <w:rsid w:val="00D53892"/>
    <w:rsid w:val="00D542F3"/>
    <w:rsid w:val="00D543E5"/>
    <w:rsid w:val="00D549A7"/>
    <w:rsid w:val="00D5548B"/>
    <w:rsid w:val="00D55A99"/>
    <w:rsid w:val="00D56365"/>
    <w:rsid w:val="00D5644B"/>
    <w:rsid w:val="00D564EC"/>
    <w:rsid w:val="00D56E25"/>
    <w:rsid w:val="00D56F6E"/>
    <w:rsid w:val="00D56FB4"/>
    <w:rsid w:val="00D60021"/>
    <w:rsid w:val="00D60163"/>
    <w:rsid w:val="00D61826"/>
    <w:rsid w:val="00D61B09"/>
    <w:rsid w:val="00D61F0D"/>
    <w:rsid w:val="00D62270"/>
    <w:rsid w:val="00D63177"/>
    <w:rsid w:val="00D637B1"/>
    <w:rsid w:val="00D64956"/>
    <w:rsid w:val="00D64FC5"/>
    <w:rsid w:val="00D654B7"/>
    <w:rsid w:val="00D66489"/>
    <w:rsid w:val="00D67F2F"/>
    <w:rsid w:val="00D701F2"/>
    <w:rsid w:val="00D704D5"/>
    <w:rsid w:val="00D705F2"/>
    <w:rsid w:val="00D70E8C"/>
    <w:rsid w:val="00D71035"/>
    <w:rsid w:val="00D710AE"/>
    <w:rsid w:val="00D7136C"/>
    <w:rsid w:val="00D715FB"/>
    <w:rsid w:val="00D71874"/>
    <w:rsid w:val="00D71896"/>
    <w:rsid w:val="00D718D7"/>
    <w:rsid w:val="00D726F2"/>
    <w:rsid w:val="00D7295C"/>
    <w:rsid w:val="00D72DC9"/>
    <w:rsid w:val="00D72EC2"/>
    <w:rsid w:val="00D73212"/>
    <w:rsid w:val="00D73560"/>
    <w:rsid w:val="00D7377E"/>
    <w:rsid w:val="00D73A29"/>
    <w:rsid w:val="00D73BEB"/>
    <w:rsid w:val="00D740E8"/>
    <w:rsid w:val="00D741E1"/>
    <w:rsid w:val="00D746F1"/>
    <w:rsid w:val="00D75134"/>
    <w:rsid w:val="00D7524F"/>
    <w:rsid w:val="00D75566"/>
    <w:rsid w:val="00D76CBD"/>
    <w:rsid w:val="00D77937"/>
    <w:rsid w:val="00D8104D"/>
    <w:rsid w:val="00D81087"/>
    <w:rsid w:val="00D814B7"/>
    <w:rsid w:val="00D81A4B"/>
    <w:rsid w:val="00D81DEB"/>
    <w:rsid w:val="00D827B6"/>
    <w:rsid w:val="00D833BD"/>
    <w:rsid w:val="00D83E4C"/>
    <w:rsid w:val="00D83F82"/>
    <w:rsid w:val="00D847AA"/>
    <w:rsid w:val="00D8530C"/>
    <w:rsid w:val="00D85BB9"/>
    <w:rsid w:val="00D86141"/>
    <w:rsid w:val="00D8617F"/>
    <w:rsid w:val="00D86FE6"/>
    <w:rsid w:val="00D875AF"/>
    <w:rsid w:val="00D87EB8"/>
    <w:rsid w:val="00D87F4A"/>
    <w:rsid w:val="00D88BEE"/>
    <w:rsid w:val="00D90688"/>
    <w:rsid w:val="00D91159"/>
    <w:rsid w:val="00D9175A"/>
    <w:rsid w:val="00D918B8"/>
    <w:rsid w:val="00D91BA5"/>
    <w:rsid w:val="00D92A8F"/>
    <w:rsid w:val="00D92C93"/>
    <w:rsid w:val="00D93263"/>
    <w:rsid w:val="00D93693"/>
    <w:rsid w:val="00D941FC"/>
    <w:rsid w:val="00D94297"/>
    <w:rsid w:val="00D942EE"/>
    <w:rsid w:val="00D945C5"/>
    <w:rsid w:val="00D94BDD"/>
    <w:rsid w:val="00D94FC0"/>
    <w:rsid w:val="00D95009"/>
    <w:rsid w:val="00D96230"/>
    <w:rsid w:val="00D965D5"/>
    <w:rsid w:val="00D96E9C"/>
    <w:rsid w:val="00D970B9"/>
    <w:rsid w:val="00D973B4"/>
    <w:rsid w:val="00D976BB"/>
    <w:rsid w:val="00D97763"/>
    <w:rsid w:val="00D979E0"/>
    <w:rsid w:val="00DA162E"/>
    <w:rsid w:val="00DA18CA"/>
    <w:rsid w:val="00DA1C4B"/>
    <w:rsid w:val="00DA2504"/>
    <w:rsid w:val="00DA2620"/>
    <w:rsid w:val="00DA350E"/>
    <w:rsid w:val="00DA3617"/>
    <w:rsid w:val="00DA3797"/>
    <w:rsid w:val="00DA38D0"/>
    <w:rsid w:val="00DA3AAD"/>
    <w:rsid w:val="00DA3CBA"/>
    <w:rsid w:val="00DA443D"/>
    <w:rsid w:val="00DA451A"/>
    <w:rsid w:val="00DA4AD9"/>
    <w:rsid w:val="00DA5EF9"/>
    <w:rsid w:val="00DA6385"/>
    <w:rsid w:val="00DA6B7B"/>
    <w:rsid w:val="00DA7AAF"/>
    <w:rsid w:val="00DA7E43"/>
    <w:rsid w:val="00DB05E8"/>
    <w:rsid w:val="00DB0BBB"/>
    <w:rsid w:val="00DB1ACD"/>
    <w:rsid w:val="00DB20CB"/>
    <w:rsid w:val="00DB2335"/>
    <w:rsid w:val="00DB312B"/>
    <w:rsid w:val="00DB4544"/>
    <w:rsid w:val="00DB54B8"/>
    <w:rsid w:val="00DB5769"/>
    <w:rsid w:val="00DB5C12"/>
    <w:rsid w:val="00DB6623"/>
    <w:rsid w:val="00DB754C"/>
    <w:rsid w:val="00DB7D81"/>
    <w:rsid w:val="00DC0718"/>
    <w:rsid w:val="00DC09A9"/>
    <w:rsid w:val="00DC0CCE"/>
    <w:rsid w:val="00DC11BE"/>
    <w:rsid w:val="00DC139E"/>
    <w:rsid w:val="00DC18BA"/>
    <w:rsid w:val="00DC1DA4"/>
    <w:rsid w:val="00DC1F9A"/>
    <w:rsid w:val="00DC26D7"/>
    <w:rsid w:val="00DC2C26"/>
    <w:rsid w:val="00DC2D29"/>
    <w:rsid w:val="00DC351F"/>
    <w:rsid w:val="00DC39F2"/>
    <w:rsid w:val="00DC5162"/>
    <w:rsid w:val="00DC5654"/>
    <w:rsid w:val="00DC62BA"/>
    <w:rsid w:val="00DC658F"/>
    <w:rsid w:val="00DC6F9A"/>
    <w:rsid w:val="00DD00E5"/>
    <w:rsid w:val="00DD0567"/>
    <w:rsid w:val="00DD0947"/>
    <w:rsid w:val="00DD0BAB"/>
    <w:rsid w:val="00DD1287"/>
    <w:rsid w:val="00DD365B"/>
    <w:rsid w:val="00DD3FF2"/>
    <w:rsid w:val="00DD4324"/>
    <w:rsid w:val="00DD4E5B"/>
    <w:rsid w:val="00DD50A2"/>
    <w:rsid w:val="00DD65E3"/>
    <w:rsid w:val="00DD78A0"/>
    <w:rsid w:val="00DD7B94"/>
    <w:rsid w:val="00DE01D9"/>
    <w:rsid w:val="00DE05C2"/>
    <w:rsid w:val="00DE0934"/>
    <w:rsid w:val="00DE0E44"/>
    <w:rsid w:val="00DE1158"/>
    <w:rsid w:val="00DE1629"/>
    <w:rsid w:val="00DE1A45"/>
    <w:rsid w:val="00DE213A"/>
    <w:rsid w:val="00DE29EB"/>
    <w:rsid w:val="00DE2C81"/>
    <w:rsid w:val="00DE339A"/>
    <w:rsid w:val="00DE34D5"/>
    <w:rsid w:val="00DE43DD"/>
    <w:rsid w:val="00DE515F"/>
    <w:rsid w:val="00DE5263"/>
    <w:rsid w:val="00DE60CC"/>
    <w:rsid w:val="00DF0DAB"/>
    <w:rsid w:val="00DF1350"/>
    <w:rsid w:val="00DF137E"/>
    <w:rsid w:val="00DF1FA4"/>
    <w:rsid w:val="00DF20AE"/>
    <w:rsid w:val="00DF283D"/>
    <w:rsid w:val="00DF334B"/>
    <w:rsid w:val="00DF3738"/>
    <w:rsid w:val="00DF4183"/>
    <w:rsid w:val="00DF5FCC"/>
    <w:rsid w:val="00DF6CD7"/>
    <w:rsid w:val="00DF7087"/>
    <w:rsid w:val="00DF7937"/>
    <w:rsid w:val="00DF7CC9"/>
    <w:rsid w:val="00E0037B"/>
    <w:rsid w:val="00E00F69"/>
    <w:rsid w:val="00E010B6"/>
    <w:rsid w:val="00E01283"/>
    <w:rsid w:val="00E0138B"/>
    <w:rsid w:val="00E01741"/>
    <w:rsid w:val="00E02263"/>
    <w:rsid w:val="00E0298F"/>
    <w:rsid w:val="00E02A62"/>
    <w:rsid w:val="00E04F09"/>
    <w:rsid w:val="00E04FA2"/>
    <w:rsid w:val="00E05871"/>
    <w:rsid w:val="00E05E46"/>
    <w:rsid w:val="00E061BE"/>
    <w:rsid w:val="00E06764"/>
    <w:rsid w:val="00E0770A"/>
    <w:rsid w:val="00E07E43"/>
    <w:rsid w:val="00E10F98"/>
    <w:rsid w:val="00E11C16"/>
    <w:rsid w:val="00E12449"/>
    <w:rsid w:val="00E1282D"/>
    <w:rsid w:val="00E12BEE"/>
    <w:rsid w:val="00E133F4"/>
    <w:rsid w:val="00E13CBE"/>
    <w:rsid w:val="00E13D8A"/>
    <w:rsid w:val="00E14065"/>
    <w:rsid w:val="00E142CC"/>
    <w:rsid w:val="00E1438B"/>
    <w:rsid w:val="00E14AF4"/>
    <w:rsid w:val="00E14C92"/>
    <w:rsid w:val="00E150CB"/>
    <w:rsid w:val="00E155BC"/>
    <w:rsid w:val="00E16222"/>
    <w:rsid w:val="00E165A9"/>
    <w:rsid w:val="00E16FA0"/>
    <w:rsid w:val="00E1758E"/>
    <w:rsid w:val="00E17AE1"/>
    <w:rsid w:val="00E20768"/>
    <w:rsid w:val="00E20807"/>
    <w:rsid w:val="00E20BD8"/>
    <w:rsid w:val="00E2213B"/>
    <w:rsid w:val="00E227C7"/>
    <w:rsid w:val="00E22807"/>
    <w:rsid w:val="00E23C2E"/>
    <w:rsid w:val="00E24026"/>
    <w:rsid w:val="00E24332"/>
    <w:rsid w:val="00E24ABD"/>
    <w:rsid w:val="00E25602"/>
    <w:rsid w:val="00E261F6"/>
    <w:rsid w:val="00E2635D"/>
    <w:rsid w:val="00E26B32"/>
    <w:rsid w:val="00E272CE"/>
    <w:rsid w:val="00E27492"/>
    <w:rsid w:val="00E27803"/>
    <w:rsid w:val="00E30344"/>
    <w:rsid w:val="00E30402"/>
    <w:rsid w:val="00E3087D"/>
    <w:rsid w:val="00E31444"/>
    <w:rsid w:val="00E31BA3"/>
    <w:rsid w:val="00E332B5"/>
    <w:rsid w:val="00E339B7"/>
    <w:rsid w:val="00E3426E"/>
    <w:rsid w:val="00E34649"/>
    <w:rsid w:val="00E3490D"/>
    <w:rsid w:val="00E34BB1"/>
    <w:rsid w:val="00E350EF"/>
    <w:rsid w:val="00E361C5"/>
    <w:rsid w:val="00E3628D"/>
    <w:rsid w:val="00E36291"/>
    <w:rsid w:val="00E36363"/>
    <w:rsid w:val="00E37C1D"/>
    <w:rsid w:val="00E37DD9"/>
    <w:rsid w:val="00E37F53"/>
    <w:rsid w:val="00E406DB"/>
    <w:rsid w:val="00E407B6"/>
    <w:rsid w:val="00E40908"/>
    <w:rsid w:val="00E40B7F"/>
    <w:rsid w:val="00E40FA6"/>
    <w:rsid w:val="00E412D9"/>
    <w:rsid w:val="00E4164F"/>
    <w:rsid w:val="00E41EF1"/>
    <w:rsid w:val="00E4226A"/>
    <w:rsid w:val="00E42942"/>
    <w:rsid w:val="00E430C3"/>
    <w:rsid w:val="00E431AC"/>
    <w:rsid w:val="00E435B2"/>
    <w:rsid w:val="00E43D2F"/>
    <w:rsid w:val="00E4449B"/>
    <w:rsid w:val="00E447DC"/>
    <w:rsid w:val="00E44840"/>
    <w:rsid w:val="00E4552B"/>
    <w:rsid w:val="00E45BD1"/>
    <w:rsid w:val="00E46203"/>
    <w:rsid w:val="00E46510"/>
    <w:rsid w:val="00E467D8"/>
    <w:rsid w:val="00E468A6"/>
    <w:rsid w:val="00E46F5F"/>
    <w:rsid w:val="00E475C4"/>
    <w:rsid w:val="00E47E52"/>
    <w:rsid w:val="00E47E5E"/>
    <w:rsid w:val="00E50683"/>
    <w:rsid w:val="00E50B34"/>
    <w:rsid w:val="00E50E4E"/>
    <w:rsid w:val="00E51470"/>
    <w:rsid w:val="00E518DB"/>
    <w:rsid w:val="00E51FF1"/>
    <w:rsid w:val="00E523CB"/>
    <w:rsid w:val="00E53963"/>
    <w:rsid w:val="00E53CA2"/>
    <w:rsid w:val="00E53E82"/>
    <w:rsid w:val="00E54529"/>
    <w:rsid w:val="00E548CA"/>
    <w:rsid w:val="00E5552C"/>
    <w:rsid w:val="00E55D61"/>
    <w:rsid w:val="00E56216"/>
    <w:rsid w:val="00E56BD3"/>
    <w:rsid w:val="00E57333"/>
    <w:rsid w:val="00E576FF"/>
    <w:rsid w:val="00E579E3"/>
    <w:rsid w:val="00E57DD9"/>
    <w:rsid w:val="00E6014B"/>
    <w:rsid w:val="00E6078C"/>
    <w:rsid w:val="00E60A38"/>
    <w:rsid w:val="00E60BF2"/>
    <w:rsid w:val="00E61B88"/>
    <w:rsid w:val="00E61DBC"/>
    <w:rsid w:val="00E62882"/>
    <w:rsid w:val="00E62C13"/>
    <w:rsid w:val="00E63332"/>
    <w:rsid w:val="00E6379F"/>
    <w:rsid w:val="00E63DC2"/>
    <w:rsid w:val="00E64DB9"/>
    <w:rsid w:val="00E64FB2"/>
    <w:rsid w:val="00E6578F"/>
    <w:rsid w:val="00E65FB6"/>
    <w:rsid w:val="00E66C71"/>
    <w:rsid w:val="00E67191"/>
    <w:rsid w:val="00E676BC"/>
    <w:rsid w:val="00E67BC6"/>
    <w:rsid w:val="00E701A8"/>
    <w:rsid w:val="00E70DD3"/>
    <w:rsid w:val="00E719E8"/>
    <w:rsid w:val="00E71BDF"/>
    <w:rsid w:val="00E72A61"/>
    <w:rsid w:val="00E73CEB"/>
    <w:rsid w:val="00E751A9"/>
    <w:rsid w:val="00E75A8A"/>
    <w:rsid w:val="00E75EEC"/>
    <w:rsid w:val="00E7692E"/>
    <w:rsid w:val="00E7711A"/>
    <w:rsid w:val="00E778B6"/>
    <w:rsid w:val="00E8026E"/>
    <w:rsid w:val="00E80904"/>
    <w:rsid w:val="00E80CFC"/>
    <w:rsid w:val="00E81A11"/>
    <w:rsid w:val="00E826F6"/>
    <w:rsid w:val="00E8298B"/>
    <w:rsid w:val="00E82BCD"/>
    <w:rsid w:val="00E82FB1"/>
    <w:rsid w:val="00E837CB"/>
    <w:rsid w:val="00E83CA7"/>
    <w:rsid w:val="00E83D0B"/>
    <w:rsid w:val="00E83E81"/>
    <w:rsid w:val="00E84403"/>
    <w:rsid w:val="00E84FDC"/>
    <w:rsid w:val="00E850E3"/>
    <w:rsid w:val="00E85329"/>
    <w:rsid w:val="00E855F2"/>
    <w:rsid w:val="00E85B3A"/>
    <w:rsid w:val="00E86465"/>
    <w:rsid w:val="00E86AFD"/>
    <w:rsid w:val="00E86DB3"/>
    <w:rsid w:val="00E87683"/>
    <w:rsid w:val="00E87691"/>
    <w:rsid w:val="00E87CAA"/>
    <w:rsid w:val="00E91AC7"/>
    <w:rsid w:val="00E932A5"/>
    <w:rsid w:val="00E936BF"/>
    <w:rsid w:val="00E93953"/>
    <w:rsid w:val="00E94478"/>
    <w:rsid w:val="00E94ABD"/>
    <w:rsid w:val="00E95436"/>
    <w:rsid w:val="00E95C08"/>
    <w:rsid w:val="00E9630C"/>
    <w:rsid w:val="00E963C2"/>
    <w:rsid w:val="00E96FEE"/>
    <w:rsid w:val="00E97038"/>
    <w:rsid w:val="00E97302"/>
    <w:rsid w:val="00E97480"/>
    <w:rsid w:val="00E97D2A"/>
    <w:rsid w:val="00EA0470"/>
    <w:rsid w:val="00EA0881"/>
    <w:rsid w:val="00EA0DAC"/>
    <w:rsid w:val="00EA1B3E"/>
    <w:rsid w:val="00EA1E53"/>
    <w:rsid w:val="00EA37D5"/>
    <w:rsid w:val="00EA39FE"/>
    <w:rsid w:val="00EA3EB3"/>
    <w:rsid w:val="00EA4158"/>
    <w:rsid w:val="00EA417C"/>
    <w:rsid w:val="00EA4305"/>
    <w:rsid w:val="00EA43BD"/>
    <w:rsid w:val="00EA4658"/>
    <w:rsid w:val="00EA5AFA"/>
    <w:rsid w:val="00EA6628"/>
    <w:rsid w:val="00EA79C7"/>
    <w:rsid w:val="00EA7C5F"/>
    <w:rsid w:val="00EA7CA8"/>
    <w:rsid w:val="00EA7D4D"/>
    <w:rsid w:val="00EB0395"/>
    <w:rsid w:val="00EB04E4"/>
    <w:rsid w:val="00EB05CD"/>
    <w:rsid w:val="00EB0992"/>
    <w:rsid w:val="00EB1297"/>
    <w:rsid w:val="00EB1890"/>
    <w:rsid w:val="00EB2CEF"/>
    <w:rsid w:val="00EB2EF8"/>
    <w:rsid w:val="00EB31D1"/>
    <w:rsid w:val="00EB3834"/>
    <w:rsid w:val="00EB405F"/>
    <w:rsid w:val="00EB406B"/>
    <w:rsid w:val="00EB5024"/>
    <w:rsid w:val="00EB549B"/>
    <w:rsid w:val="00EB6107"/>
    <w:rsid w:val="00EB64DB"/>
    <w:rsid w:val="00EB74E7"/>
    <w:rsid w:val="00EB7604"/>
    <w:rsid w:val="00EB764F"/>
    <w:rsid w:val="00EB7BDB"/>
    <w:rsid w:val="00EB7EEC"/>
    <w:rsid w:val="00EB7EF5"/>
    <w:rsid w:val="00EC02DC"/>
    <w:rsid w:val="00EC033C"/>
    <w:rsid w:val="00EC0556"/>
    <w:rsid w:val="00EC1419"/>
    <w:rsid w:val="00EC171D"/>
    <w:rsid w:val="00EC27FD"/>
    <w:rsid w:val="00EC3933"/>
    <w:rsid w:val="00EC3F2B"/>
    <w:rsid w:val="00EC42A4"/>
    <w:rsid w:val="00EC4E91"/>
    <w:rsid w:val="00EC5571"/>
    <w:rsid w:val="00EC6604"/>
    <w:rsid w:val="00EC75F8"/>
    <w:rsid w:val="00ED0303"/>
    <w:rsid w:val="00ED0313"/>
    <w:rsid w:val="00ED046E"/>
    <w:rsid w:val="00ED093F"/>
    <w:rsid w:val="00ED0CFB"/>
    <w:rsid w:val="00ED1179"/>
    <w:rsid w:val="00ED2866"/>
    <w:rsid w:val="00ED32A5"/>
    <w:rsid w:val="00ED35F0"/>
    <w:rsid w:val="00ED42B5"/>
    <w:rsid w:val="00ED47B8"/>
    <w:rsid w:val="00ED487E"/>
    <w:rsid w:val="00ED49DF"/>
    <w:rsid w:val="00ED4A98"/>
    <w:rsid w:val="00ED51D8"/>
    <w:rsid w:val="00ED5392"/>
    <w:rsid w:val="00ED5451"/>
    <w:rsid w:val="00ED5558"/>
    <w:rsid w:val="00ED669E"/>
    <w:rsid w:val="00ED6724"/>
    <w:rsid w:val="00ED6820"/>
    <w:rsid w:val="00ED6BD6"/>
    <w:rsid w:val="00ED6C8C"/>
    <w:rsid w:val="00ED6E98"/>
    <w:rsid w:val="00ED708C"/>
    <w:rsid w:val="00ED72EB"/>
    <w:rsid w:val="00ED76BE"/>
    <w:rsid w:val="00ED7D48"/>
    <w:rsid w:val="00ED7E1D"/>
    <w:rsid w:val="00EE007E"/>
    <w:rsid w:val="00EE0379"/>
    <w:rsid w:val="00EE105E"/>
    <w:rsid w:val="00EE1C71"/>
    <w:rsid w:val="00EE20FA"/>
    <w:rsid w:val="00EE246C"/>
    <w:rsid w:val="00EE2E5A"/>
    <w:rsid w:val="00EE3468"/>
    <w:rsid w:val="00EE390A"/>
    <w:rsid w:val="00EE53EF"/>
    <w:rsid w:val="00EE575D"/>
    <w:rsid w:val="00EE6050"/>
    <w:rsid w:val="00EE67A3"/>
    <w:rsid w:val="00EE6849"/>
    <w:rsid w:val="00EE7A0D"/>
    <w:rsid w:val="00EF09BD"/>
    <w:rsid w:val="00EF0D21"/>
    <w:rsid w:val="00EF1322"/>
    <w:rsid w:val="00EF25E5"/>
    <w:rsid w:val="00EF34D3"/>
    <w:rsid w:val="00EF3767"/>
    <w:rsid w:val="00EF4C23"/>
    <w:rsid w:val="00EF4C24"/>
    <w:rsid w:val="00EF4F09"/>
    <w:rsid w:val="00EF67B9"/>
    <w:rsid w:val="00EF6813"/>
    <w:rsid w:val="00EF72F5"/>
    <w:rsid w:val="00EF735F"/>
    <w:rsid w:val="00EF7495"/>
    <w:rsid w:val="00EF776A"/>
    <w:rsid w:val="00EF7E21"/>
    <w:rsid w:val="00F018AA"/>
    <w:rsid w:val="00F01C5C"/>
    <w:rsid w:val="00F0208C"/>
    <w:rsid w:val="00F020AB"/>
    <w:rsid w:val="00F0229E"/>
    <w:rsid w:val="00F02850"/>
    <w:rsid w:val="00F028A0"/>
    <w:rsid w:val="00F02930"/>
    <w:rsid w:val="00F029CA"/>
    <w:rsid w:val="00F03067"/>
    <w:rsid w:val="00F031C2"/>
    <w:rsid w:val="00F03296"/>
    <w:rsid w:val="00F032C6"/>
    <w:rsid w:val="00F03924"/>
    <w:rsid w:val="00F04464"/>
    <w:rsid w:val="00F04984"/>
    <w:rsid w:val="00F05661"/>
    <w:rsid w:val="00F0696B"/>
    <w:rsid w:val="00F06DA1"/>
    <w:rsid w:val="00F07011"/>
    <w:rsid w:val="00F07215"/>
    <w:rsid w:val="00F07B47"/>
    <w:rsid w:val="00F07C29"/>
    <w:rsid w:val="00F07E49"/>
    <w:rsid w:val="00F07ECF"/>
    <w:rsid w:val="00F10100"/>
    <w:rsid w:val="00F10299"/>
    <w:rsid w:val="00F10B0F"/>
    <w:rsid w:val="00F110A9"/>
    <w:rsid w:val="00F1320B"/>
    <w:rsid w:val="00F133D5"/>
    <w:rsid w:val="00F13A01"/>
    <w:rsid w:val="00F15075"/>
    <w:rsid w:val="00F1508C"/>
    <w:rsid w:val="00F1517B"/>
    <w:rsid w:val="00F153EB"/>
    <w:rsid w:val="00F15EC7"/>
    <w:rsid w:val="00F167F0"/>
    <w:rsid w:val="00F17CE1"/>
    <w:rsid w:val="00F17DB8"/>
    <w:rsid w:val="00F20650"/>
    <w:rsid w:val="00F206DF"/>
    <w:rsid w:val="00F20717"/>
    <w:rsid w:val="00F20950"/>
    <w:rsid w:val="00F20AFF"/>
    <w:rsid w:val="00F2115C"/>
    <w:rsid w:val="00F211FC"/>
    <w:rsid w:val="00F22084"/>
    <w:rsid w:val="00F229C6"/>
    <w:rsid w:val="00F22ABA"/>
    <w:rsid w:val="00F23B6E"/>
    <w:rsid w:val="00F23F4F"/>
    <w:rsid w:val="00F24190"/>
    <w:rsid w:val="00F24622"/>
    <w:rsid w:val="00F25803"/>
    <w:rsid w:val="00F25A56"/>
    <w:rsid w:val="00F25F96"/>
    <w:rsid w:val="00F262E4"/>
    <w:rsid w:val="00F26C2C"/>
    <w:rsid w:val="00F30186"/>
    <w:rsid w:val="00F303BC"/>
    <w:rsid w:val="00F30F3E"/>
    <w:rsid w:val="00F314E4"/>
    <w:rsid w:val="00F32352"/>
    <w:rsid w:val="00F32880"/>
    <w:rsid w:val="00F33292"/>
    <w:rsid w:val="00F3402A"/>
    <w:rsid w:val="00F342A4"/>
    <w:rsid w:val="00F34827"/>
    <w:rsid w:val="00F34C57"/>
    <w:rsid w:val="00F34DF3"/>
    <w:rsid w:val="00F34F15"/>
    <w:rsid w:val="00F34F75"/>
    <w:rsid w:val="00F354AC"/>
    <w:rsid w:val="00F3561F"/>
    <w:rsid w:val="00F35DB2"/>
    <w:rsid w:val="00F367F5"/>
    <w:rsid w:val="00F368B1"/>
    <w:rsid w:val="00F36B12"/>
    <w:rsid w:val="00F36B29"/>
    <w:rsid w:val="00F37220"/>
    <w:rsid w:val="00F373FC"/>
    <w:rsid w:val="00F37C0F"/>
    <w:rsid w:val="00F37E92"/>
    <w:rsid w:val="00F413E3"/>
    <w:rsid w:val="00F417C3"/>
    <w:rsid w:val="00F41ED1"/>
    <w:rsid w:val="00F42134"/>
    <w:rsid w:val="00F4250C"/>
    <w:rsid w:val="00F42ECD"/>
    <w:rsid w:val="00F437C1"/>
    <w:rsid w:val="00F43B28"/>
    <w:rsid w:val="00F43B47"/>
    <w:rsid w:val="00F45366"/>
    <w:rsid w:val="00F45591"/>
    <w:rsid w:val="00F45670"/>
    <w:rsid w:val="00F45A31"/>
    <w:rsid w:val="00F45B12"/>
    <w:rsid w:val="00F45EFA"/>
    <w:rsid w:val="00F462E8"/>
    <w:rsid w:val="00F46989"/>
    <w:rsid w:val="00F46F52"/>
    <w:rsid w:val="00F471AB"/>
    <w:rsid w:val="00F50F0C"/>
    <w:rsid w:val="00F51273"/>
    <w:rsid w:val="00F5132D"/>
    <w:rsid w:val="00F514A3"/>
    <w:rsid w:val="00F51AC2"/>
    <w:rsid w:val="00F51B76"/>
    <w:rsid w:val="00F52080"/>
    <w:rsid w:val="00F52475"/>
    <w:rsid w:val="00F534BF"/>
    <w:rsid w:val="00F53681"/>
    <w:rsid w:val="00F53E0E"/>
    <w:rsid w:val="00F5430F"/>
    <w:rsid w:val="00F5464A"/>
    <w:rsid w:val="00F54B08"/>
    <w:rsid w:val="00F5510D"/>
    <w:rsid w:val="00F55744"/>
    <w:rsid w:val="00F562B9"/>
    <w:rsid w:val="00F56FD7"/>
    <w:rsid w:val="00F571AA"/>
    <w:rsid w:val="00F57733"/>
    <w:rsid w:val="00F57B3D"/>
    <w:rsid w:val="00F604DB"/>
    <w:rsid w:val="00F60F9F"/>
    <w:rsid w:val="00F6104F"/>
    <w:rsid w:val="00F61262"/>
    <w:rsid w:val="00F61F2E"/>
    <w:rsid w:val="00F63717"/>
    <w:rsid w:val="00F637C7"/>
    <w:rsid w:val="00F638B6"/>
    <w:rsid w:val="00F63990"/>
    <w:rsid w:val="00F639FB"/>
    <w:rsid w:val="00F63B55"/>
    <w:rsid w:val="00F6440E"/>
    <w:rsid w:val="00F647E1"/>
    <w:rsid w:val="00F64AB3"/>
    <w:rsid w:val="00F64F08"/>
    <w:rsid w:val="00F65B57"/>
    <w:rsid w:val="00F65DE6"/>
    <w:rsid w:val="00F664E8"/>
    <w:rsid w:val="00F668F2"/>
    <w:rsid w:val="00F677C4"/>
    <w:rsid w:val="00F70016"/>
    <w:rsid w:val="00F702EB"/>
    <w:rsid w:val="00F70D3B"/>
    <w:rsid w:val="00F71113"/>
    <w:rsid w:val="00F711CB"/>
    <w:rsid w:val="00F71527"/>
    <w:rsid w:val="00F716A1"/>
    <w:rsid w:val="00F7195C"/>
    <w:rsid w:val="00F729FB"/>
    <w:rsid w:val="00F734F5"/>
    <w:rsid w:val="00F73D8E"/>
    <w:rsid w:val="00F73E37"/>
    <w:rsid w:val="00F74216"/>
    <w:rsid w:val="00F7488C"/>
    <w:rsid w:val="00F748F6"/>
    <w:rsid w:val="00F75378"/>
    <w:rsid w:val="00F75E12"/>
    <w:rsid w:val="00F75E4E"/>
    <w:rsid w:val="00F7628F"/>
    <w:rsid w:val="00F769B6"/>
    <w:rsid w:val="00F76BF1"/>
    <w:rsid w:val="00F76F03"/>
    <w:rsid w:val="00F77353"/>
    <w:rsid w:val="00F77DDC"/>
    <w:rsid w:val="00F8000B"/>
    <w:rsid w:val="00F80C88"/>
    <w:rsid w:val="00F8116A"/>
    <w:rsid w:val="00F818EE"/>
    <w:rsid w:val="00F81F2C"/>
    <w:rsid w:val="00F820C4"/>
    <w:rsid w:val="00F82271"/>
    <w:rsid w:val="00F827F5"/>
    <w:rsid w:val="00F82935"/>
    <w:rsid w:val="00F82BA6"/>
    <w:rsid w:val="00F82D05"/>
    <w:rsid w:val="00F832D2"/>
    <w:rsid w:val="00F8381C"/>
    <w:rsid w:val="00F839A3"/>
    <w:rsid w:val="00F83AAE"/>
    <w:rsid w:val="00F83AD4"/>
    <w:rsid w:val="00F83D78"/>
    <w:rsid w:val="00F8402A"/>
    <w:rsid w:val="00F860FF"/>
    <w:rsid w:val="00F864AD"/>
    <w:rsid w:val="00F864C7"/>
    <w:rsid w:val="00F87DD3"/>
    <w:rsid w:val="00F87EC1"/>
    <w:rsid w:val="00F87F1E"/>
    <w:rsid w:val="00F91A0C"/>
    <w:rsid w:val="00F91A14"/>
    <w:rsid w:val="00F91E28"/>
    <w:rsid w:val="00F91EF1"/>
    <w:rsid w:val="00F9330C"/>
    <w:rsid w:val="00F93844"/>
    <w:rsid w:val="00F93A9B"/>
    <w:rsid w:val="00F93D2E"/>
    <w:rsid w:val="00F94989"/>
    <w:rsid w:val="00F9514A"/>
    <w:rsid w:val="00F95843"/>
    <w:rsid w:val="00F95A08"/>
    <w:rsid w:val="00F962AA"/>
    <w:rsid w:val="00F964BA"/>
    <w:rsid w:val="00F9663C"/>
    <w:rsid w:val="00F966B1"/>
    <w:rsid w:val="00F967C4"/>
    <w:rsid w:val="00F968F9"/>
    <w:rsid w:val="00F97257"/>
    <w:rsid w:val="00F9780B"/>
    <w:rsid w:val="00F97D48"/>
    <w:rsid w:val="00FA0232"/>
    <w:rsid w:val="00FA0311"/>
    <w:rsid w:val="00FA0B2F"/>
    <w:rsid w:val="00FA0EE8"/>
    <w:rsid w:val="00FA226B"/>
    <w:rsid w:val="00FA38A7"/>
    <w:rsid w:val="00FA3B80"/>
    <w:rsid w:val="00FA3FC9"/>
    <w:rsid w:val="00FA48F3"/>
    <w:rsid w:val="00FA4DFC"/>
    <w:rsid w:val="00FA591C"/>
    <w:rsid w:val="00FA64F7"/>
    <w:rsid w:val="00FA6B37"/>
    <w:rsid w:val="00FA7697"/>
    <w:rsid w:val="00FA7C15"/>
    <w:rsid w:val="00FB0661"/>
    <w:rsid w:val="00FB0D99"/>
    <w:rsid w:val="00FB1202"/>
    <w:rsid w:val="00FB1386"/>
    <w:rsid w:val="00FB1E6B"/>
    <w:rsid w:val="00FB240F"/>
    <w:rsid w:val="00FB2776"/>
    <w:rsid w:val="00FB2FB5"/>
    <w:rsid w:val="00FB3047"/>
    <w:rsid w:val="00FB37DA"/>
    <w:rsid w:val="00FB3DD6"/>
    <w:rsid w:val="00FB3F1A"/>
    <w:rsid w:val="00FB4911"/>
    <w:rsid w:val="00FB4A70"/>
    <w:rsid w:val="00FB4D6B"/>
    <w:rsid w:val="00FB503E"/>
    <w:rsid w:val="00FB5123"/>
    <w:rsid w:val="00FB6378"/>
    <w:rsid w:val="00FB72BD"/>
    <w:rsid w:val="00FB7CBB"/>
    <w:rsid w:val="00FC0C9F"/>
    <w:rsid w:val="00FC0CC6"/>
    <w:rsid w:val="00FC2494"/>
    <w:rsid w:val="00FC284A"/>
    <w:rsid w:val="00FC2AE1"/>
    <w:rsid w:val="00FC2D1E"/>
    <w:rsid w:val="00FC2F0C"/>
    <w:rsid w:val="00FC4260"/>
    <w:rsid w:val="00FC42E5"/>
    <w:rsid w:val="00FC5E9B"/>
    <w:rsid w:val="00FC60C8"/>
    <w:rsid w:val="00FC66CB"/>
    <w:rsid w:val="00FC68A8"/>
    <w:rsid w:val="00FC70F3"/>
    <w:rsid w:val="00FC7180"/>
    <w:rsid w:val="00FC73CC"/>
    <w:rsid w:val="00FC7408"/>
    <w:rsid w:val="00FC7EE6"/>
    <w:rsid w:val="00FD05FD"/>
    <w:rsid w:val="00FD16C2"/>
    <w:rsid w:val="00FD1ED8"/>
    <w:rsid w:val="00FD29B5"/>
    <w:rsid w:val="00FD36CB"/>
    <w:rsid w:val="00FD3CA5"/>
    <w:rsid w:val="00FD3CBE"/>
    <w:rsid w:val="00FD42E2"/>
    <w:rsid w:val="00FD4579"/>
    <w:rsid w:val="00FD5F65"/>
    <w:rsid w:val="00FD62B8"/>
    <w:rsid w:val="00FD640F"/>
    <w:rsid w:val="00FD6B29"/>
    <w:rsid w:val="00FD6B4C"/>
    <w:rsid w:val="00FD6BE9"/>
    <w:rsid w:val="00FE08DE"/>
    <w:rsid w:val="00FE0BC9"/>
    <w:rsid w:val="00FE1328"/>
    <w:rsid w:val="00FE1790"/>
    <w:rsid w:val="00FE1B7E"/>
    <w:rsid w:val="00FE24E9"/>
    <w:rsid w:val="00FE2DE1"/>
    <w:rsid w:val="00FE409E"/>
    <w:rsid w:val="00FE59E2"/>
    <w:rsid w:val="00FE6102"/>
    <w:rsid w:val="00FE708E"/>
    <w:rsid w:val="00FE7676"/>
    <w:rsid w:val="00FF0DAA"/>
    <w:rsid w:val="00FF11C7"/>
    <w:rsid w:val="00FF197F"/>
    <w:rsid w:val="00FF1C1B"/>
    <w:rsid w:val="00FF2AFF"/>
    <w:rsid w:val="00FF319E"/>
    <w:rsid w:val="00FF3353"/>
    <w:rsid w:val="00FF3445"/>
    <w:rsid w:val="00FF3905"/>
    <w:rsid w:val="00FF398B"/>
    <w:rsid w:val="00FF3E14"/>
    <w:rsid w:val="00FF4A66"/>
    <w:rsid w:val="00FF4BF2"/>
    <w:rsid w:val="00FF4E99"/>
    <w:rsid w:val="00FF57C7"/>
    <w:rsid w:val="00FF57F7"/>
    <w:rsid w:val="00FF58E4"/>
    <w:rsid w:val="00FF5EC4"/>
    <w:rsid w:val="00FF6433"/>
    <w:rsid w:val="00FF6B91"/>
    <w:rsid w:val="00FF72D4"/>
    <w:rsid w:val="00FF787D"/>
    <w:rsid w:val="00FF7890"/>
    <w:rsid w:val="032417B6"/>
    <w:rsid w:val="05D4C171"/>
    <w:rsid w:val="06129FC8"/>
    <w:rsid w:val="07E19826"/>
    <w:rsid w:val="0B3D2CA2"/>
    <w:rsid w:val="0BD4F23B"/>
    <w:rsid w:val="0C2E8BC8"/>
    <w:rsid w:val="0C962414"/>
    <w:rsid w:val="0CBF6E89"/>
    <w:rsid w:val="0FB179DE"/>
    <w:rsid w:val="0FC29D46"/>
    <w:rsid w:val="1183C83A"/>
    <w:rsid w:val="14745846"/>
    <w:rsid w:val="174424AB"/>
    <w:rsid w:val="190D8A06"/>
    <w:rsid w:val="1A2C8825"/>
    <w:rsid w:val="1C7B4A69"/>
    <w:rsid w:val="1D3E7C47"/>
    <w:rsid w:val="1D58B6CA"/>
    <w:rsid w:val="22587834"/>
    <w:rsid w:val="2A6B2254"/>
    <w:rsid w:val="2BAD9359"/>
    <w:rsid w:val="2CFEEF54"/>
    <w:rsid w:val="312A78C4"/>
    <w:rsid w:val="329A26A3"/>
    <w:rsid w:val="3359B874"/>
    <w:rsid w:val="33E3312F"/>
    <w:rsid w:val="369ADA53"/>
    <w:rsid w:val="38A766C2"/>
    <w:rsid w:val="3BC96458"/>
    <w:rsid w:val="3C250405"/>
    <w:rsid w:val="3C40F886"/>
    <w:rsid w:val="3DC0D466"/>
    <w:rsid w:val="3E708D8A"/>
    <w:rsid w:val="43D62312"/>
    <w:rsid w:val="44B7A5E8"/>
    <w:rsid w:val="46E6A1F7"/>
    <w:rsid w:val="4A5ED386"/>
    <w:rsid w:val="4E4DCC5B"/>
    <w:rsid w:val="52CE4B5A"/>
    <w:rsid w:val="560CA9B7"/>
    <w:rsid w:val="57199507"/>
    <w:rsid w:val="58FB87D0"/>
    <w:rsid w:val="597D0752"/>
    <w:rsid w:val="5A797D56"/>
    <w:rsid w:val="5B58F036"/>
    <w:rsid w:val="5E454F3F"/>
    <w:rsid w:val="5EC7B690"/>
    <w:rsid w:val="6264325F"/>
    <w:rsid w:val="6A186D5F"/>
    <w:rsid w:val="6DFF5F85"/>
    <w:rsid w:val="6E7E7C9D"/>
    <w:rsid w:val="7143B443"/>
    <w:rsid w:val="7190DA92"/>
    <w:rsid w:val="78C858D4"/>
    <w:rsid w:val="7B06F88C"/>
    <w:rsid w:val="7DC50691"/>
    <w:rsid w:val="7E22A4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27C0"/>
  <w15:docId w15:val="{38746422-1A09-4A6D-A89D-992FE743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803F69"/>
    <w:rPr>
      <w:color w:val="232B39" w:themeColor="text1"/>
    </w:rPr>
  </w:style>
  <w:style w:type="paragraph" w:styleId="Heading1">
    <w:name w:val="heading 1"/>
    <w:next w:val="Normal"/>
    <w:link w:val="Heading1Char"/>
    <w:qFormat/>
    <w:rsid w:val="00E9630C"/>
    <w:pPr>
      <w:keepNext/>
      <w:keepLines/>
      <w:spacing w:before="36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paragraph" w:styleId="Heading6">
    <w:name w:val="heading 6"/>
    <w:basedOn w:val="Normal"/>
    <w:next w:val="Normal"/>
    <w:link w:val="Heading6Char"/>
    <w:uiPriority w:val="9"/>
    <w:semiHidden/>
    <w:qFormat/>
    <w:rsid w:val="006A6BD7"/>
    <w:pPr>
      <w:keepNext/>
      <w:keepLines/>
      <w:spacing w:before="40" w:after="0"/>
      <w:outlineLvl w:val="5"/>
    </w:pPr>
    <w:rPr>
      <w:rFonts w:asciiTheme="majorHAnsi" w:eastAsiaTheme="majorEastAsia" w:hAnsiTheme="majorHAnsi" w:cstheme="majorBidi"/>
      <w:color w:val="003866" w:themeColor="accent1" w:themeShade="7F"/>
    </w:rPr>
  </w:style>
  <w:style w:type="paragraph" w:styleId="Heading7">
    <w:name w:val="heading 7"/>
    <w:basedOn w:val="Normal"/>
    <w:next w:val="Normal"/>
    <w:link w:val="Heading7Char"/>
    <w:uiPriority w:val="9"/>
    <w:semiHidden/>
    <w:qFormat/>
    <w:rsid w:val="006A6BD7"/>
    <w:pPr>
      <w:keepNext/>
      <w:keepLines/>
      <w:spacing w:before="40" w:after="0"/>
      <w:outlineLvl w:val="6"/>
    </w:pPr>
    <w:rPr>
      <w:rFonts w:asciiTheme="majorHAnsi" w:eastAsiaTheme="majorEastAsia" w:hAnsiTheme="majorHAnsi" w:cstheme="majorBidi"/>
      <w:i/>
      <w:iCs/>
      <w:color w:val="003866" w:themeColor="accent1" w:themeShade="7F"/>
    </w:rPr>
  </w:style>
  <w:style w:type="paragraph" w:styleId="Heading8">
    <w:name w:val="heading 8"/>
    <w:basedOn w:val="Normal"/>
    <w:next w:val="Normal"/>
    <w:link w:val="Heading8Char"/>
    <w:uiPriority w:val="9"/>
    <w:semiHidden/>
    <w:qFormat/>
    <w:rsid w:val="006A6BD7"/>
    <w:pPr>
      <w:keepNext/>
      <w:keepLines/>
      <w:spacing w:before="40" w:after="0"/>
      <w:outlineLvl w:val="7"/>
    </w:pPr>
    <w:rPr>
      <w:rFonts w:asciiTheme="majorHAnsi" w:eastAsiaTheme="majorEastAsia" w:hAnsiTheme="majorHAnsi" w:cstheme="majorBidi"/>
      <w:color w:val="3B4860" w:themeColor="text1" w:themeTint="D8"/>
      <w:sz w:val="21"/>
      <w:szCs w:val="21"/>
    </w:rPr>
  </w:style>
  <w:style w:type="paragraph" w:styleId="Heading9">
    <w:name w:val="heading 9"/>
    <w:basedOn w:val="Normal"/>
    <w:next w:val="Normal"/>
    <w:link w:val="Heading9Char"/>
    <w:uiPriority w:val="9"/>
    <w:semiHidden/>
    <w:qFormat/>
    <w:rsid w:val="006A6BD7"/>
    <w:pPr>
      <w:keepNext/>
      <w:keepLines/>
      <w:spacing w:before="40" w:after="0"/>
      <w:outlineLvl w:val="8"/>
    </w:pPr>
    <w:rPr>
      <w:rFonts w:asciiTheme="majorHAnsi" w:eastAsiaTheme="majorEastAsia" w:hAnsiTheme="majorHAnsi" w:cstheme="majorBidi"/>
      <w:i/>
      <w:iCs/>
      <w:color w:val="3B486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6A6BD7"/>
    <w:pPr>
      <w:tabs>
        <w:tab w:val="right" w:pos="9000"/>
      </w:tabs>
      <w:ind w:right="26"/>
    </w:pPr>
    <w:rPr>
      <w:sz w:val="24"/>
      <w:szCs w:val="24"/>
    </w:rPr>
  </w:style>
  <w:style w:type="paragraph" w:styleId="TOC2">
    <w:name w:val="toc 2"/>
    <w:next w:val="Normal"/>
    <w:uiPriority w:val="39"/>
    <w:rsid w:val="00BD2704"/>
    <w:pPr>
      <w:tabs>
        <w:tab w:val="right" w:pos="9000"/>
      </w:tabs>
      <w:spacing w:after="100"/>
      <w:ind w:left="446" w:right="432"/>
      <w:contextualSpacing/>
    </w:pPr>
    <w:rPr>
      <w:noProof/>
      <w:spacing w:val="2"/>
    </w:rPr>
  </w:style>
  <w:style w:type="paragraph" w:styleId="TOC3">
    <w:name w:val="toc 3"/>
    <w:basedOn w:val="Normal"/>
    <w:next w:val="Normal"/>
    <w:uiPriority w:val="39"/>
    <w:rsid w:val="00BD2704"/>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004C97"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numbering" w:customStyle="1" w:styleId="BulletListStyle">
    <w:name w:val="Bullet List Style"/>
    <w:uiPriority w:val="99"/>
    <w:rsid w:val="006078BE"/>
    <w:pPr>
      <w:numPr>
        <w:numId w:val="12"/>
      </w:numPr>
    </w:pPr>
  </w:style>
  <w:style w:type="paragraph" w:styleId="ListNumber">
    <w:name w:val="List Number"/>
    <w:basedOn w:val="Normal"/>
    <w:uiPriority w:val="99"/>
    <w:rsid w:val="006078BE"/>
    <w:pPr>
      <w:ind w:left="284" w:hanging="284"/>
    </w:pPr>
  </w:style>
  <w:style w:type="paragraph" w:styleId="ListNumber2">
    <w:name w:val="List Number 2"/>
    <w:basedOn w:val="ListNumber"/>
    <w:uiPriority w:val="99"/>
    <w:rsid w:val="00ED76BE"/>
    <w:pPr>
      <w:ind w:left="567" w:hanging="283"/>
    </w:pPr>
  </w:style>
  <w:style w:type="paragraph" w:customStyle="1" w:styleId="Heading1numbered">
    <w:name w:val="Heading 1 numbered"/>
    <w:basedOn w:val="Heading1"/>
    <w:next w:val="NormalIndent"/>
    <w:uiPriority w:val="8"/>
    <w:qFormat/>
    <w:rsid w:val="00A66B7F"/>
    <w:pPr>
      <w:numPr>
        <w:numId w:val="5"/>
      </w:numPr>
    </w:pPr>
  </w:style>
  <w:style w:type="paragraph" w:customStyle="1" w:styleId="Heading2numbered">
    <w:name w:val="Heading 2 numbered"/>
    <w:basedOn w:val="Heading2"/>
    <w:next w:val="NormalIndent"/>
    <w:uiPriority w:val="8"/>
    <w:qFormat/>
    <w:rsid w:val="00522F8A"/>
    <w:pPr>
      <w:numPr>
        <w:ilvl w:val="1"/>
        <w:numId w:val="5"/>
      </w:numPr>
    </w:pPr>
  </w:style>
  <w:style w:type="paragraph" w:customStyle="1" w:styleId="Heading3numbered">
    <w:name w:val="Heading 3 numbered"/>
    <w:basedOn w:val="Heading3"/>
    <w:next w:val="NormalIndent"/>
    <w:uiPriority w:val="8"/>
    <w:qFormat/>
    <w:rsid w:val="00522F8A"/>
    <w:pPr>
      <w:numPr>
        <w:ilvl w:val="2"/>
        <w:numId w:val="5"/>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styleId="ListNumber3">
    <w:name w:val="List Number 3"/>
    <w:basedOn w:val="ListBullet2"/>
    <w:uiPriority w:val="99"/>
    <w:rsid w:val="006078BE"/>
    <w:pPr>
      <w:numPr>
        <w:ilvl w:val="0"/>
        <w:numId w:val="0"/>
      </w:numPr>
      <w:ind w:left="851" w:hanging="284"/>
    </w:p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4B7783"/>
    <w:pPr>
      <w:spacing w:before="200" w:after="200" w:line="216" w:lineRule="auto"/>
      <w:ind w:right="391"/>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4B778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character" w:styleId="CommentReference">
    <w:name w:val="annotation reference"/>
    <w:basedOn w:val="DefaultParagraphFont"/>
    <w:uiPriority w:val="99"/>
    <w:semiHidden/>
    <w:unhideWhenUsed/>
    <w:rsid w:val="005A7439"/>
    <w:rPr>
      <w:sz w:val="16"/>
      <w:szCs w:val="16"/>
    </w:r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6EBC"/>
    <w:pPr>
      <w:spacing w:before="60" w:after="60"/>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803F69"/>
    <w:pPr>
      <w:spacing w:before="30" w:after="30"/>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40" w:beforeAutospacing="0" w:afterLines="0" w:after="4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styleId="CommentText">
    <w:name w:val="annotation text"/>
    <w:basedOn w:val="Normal"/>
    <w:link w:val="CommentTextChar"/>
    <w:uiPriority w:val="99"/>
    <w:unhideWhenUsed/>
    <w:rsid w:val="005A7439"/>
    <w:pPr>
      <w:spacing w:line="240" w:lineRule="auto"/>
    </w:pPr>
  </w:style>
  <w:style w:type="character" w:customStyle="1" w:styleId="CommentTextChar">
    <w:name w:val="Comment Text Char"/>
    <w:basedOn w:val="DefaultParagraphFont"/>
    <w:link w:val="CommentText"/>
    <w:uiPriority w:val="99"/>
    <w:rsid w:val="005A7439"/>
    <w:rPr>
      <w:color w:val="232B39" w:themeColor="text1"/>
    </w:rPr>
  </w:style>
  <w:style w:type="paragraph" w:styleId="CommentSubject">
    <w:name w:val="annotation subject"/>
    <w:basedOn w:val="CommentText"/>
    <w:next w:val="CommentText"/>
    <w:link w:val="CommentSubjectChar"/>
    <w:uiPriority w:val="99"/>
    <w:semiHidden/>
    <w:unhideWhenUsed/>
    <w:rsid w:val="005A7439"/>
    <w:rPr>
      <w:b/>
      <w:bCs/>
    </w:r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2"/>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numbering" w:customStyle="1" w:styleId="NumberedHeadingStyle">
    <w:name w:val="Numbered Heading Style"/>
    <w:uiPriority w:val="99"/>
    <w:rsid w:val="006B1AC3"/>
    <w:pPr>
      <w:numPr>
        <w:numId w:val="5"/>
      </w:numPr>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ormal"/>
    <w:uiPriority w:val="9"/>
    <w:qFormat/>
    <w:rsid w:val="00A66B7F"/>
    <w:pPr>
      <w:numPr>
        <w:ilvl w:val="8"/>
        <w:numId w:val="3"/>
      </w:numPr>
    </w:pPr>
  </w:style>
  <w:style w:type="paragraph" w:customStyle="1" w:styleId="Tablenum1">
    <w:name w:val="Table num 1"/>
    <w:basedOn w:val="Normal"/>
    <w:uiPriority w:val="6"/>
    <w:rsid w:val="00522F8A"/>
    <w:pPr>
      <w:numPr>
        <w:ilvl w:val="2"/>
        <w:numId w:val="2"/>
      </w:numPr>
      <w:spacing w:before="60" w:after="60"/>
    </w:pPr>
    <w:rPr>
      <w:sz w:val="17"/>
    </w:rPr>
  </w:style>
  <w:style w:type="paragraph" w:customStyle="1" w:styleId="Tablenum2">
    <w:name w:val="Table num 2"/>
    <w:basedOn w:val="Normal"/>
    <w:uiPriority w:val="6"/>
    <w:rsid w:val="00522F8A"/>
    <w:pPr>
      <w:numPr>
        <w:ilvl w:val="3"/>
        <w:numId w:val="2"/>
      </w:numPr>
      <w:spacing w:before="60" w:after="60"/>
    </w:pPr>
    <w:rPr>
      <w:sz w:val="17"/>
    </w:rPr>
  </w:style>
  <w:style w:type="paragraph" w:customStyle="1" w:styleId="NoteNormalindent">
    <w:name w:val="Note Normal indent"/>
    <w:basedOn w:val="Normal"/>
    <w:uiPriority w:val="9"/>
    <w:rsid w:val="00F827F5"/>
    <w:pPr>
      <w:spacing w:before="80" w:line="240" w:lineRule="auto"/>
      <w:ind w:left="792"/>
    </w:pPr>
    <w:rPr>
      <w:rFonts w:eastAsia="Times New Roman" w:cstheme="minorHAnsi"/>
      <w:color w:val="000000"/>
      <w:spacing w:val="1"/>
      <w:sz w:val="16"/>
      <w:szCs w:val="16"/>
      <w:lang w:eastAsia="en-US"/>
    </w:r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styleId="ListContinue">
    <w:name w:val="List Continue"/>
    <w:basedOn w:val="Normal"/>
    <w:uiPriority w:val="99"/>
    <w:rsid w:val="00A66B7F"/>
    <w:pPr>
      <w:ind w:left="397"/>
    </w:pPr>
  </w:style>
  <w:style w:type="paragraph" w:styleId="ListContinue2">
    <w:name w:val="List Continue 2"/>
    <w:basedOn w:val="Normal"/>
    <w:uiPriority w:val="99"/>
    <w:rsid w:val="00A66B7F"/>
    <w:pPr>
      <w:ind w:left="794"/>
    </w:pPr>
  </w:style>
  <w:style w:type="numbering" w:customStyle="1" w:styleId="NumberedListStyle">
    <w:name w:val="Numbered List Style"/>
    <w:uiPriority w:val="99"/>
    <w:rsid w:val="006078BE"/>
    <w:pPr>
      <w:numPr>
        <w:numId w:val="6"/>
      </w:numPr>
    </w:pPr>
  </w:style>
  <w:style w:type="character" w:customStyle="1" w:styleId="CommentSubjectChar">
    <w:name w:val="Comment Subject Char"/>
    <w:basedOn w:val="CommentTextChar"/>
    <w:link w:val="CommentSubject"/>
    <w:uiPriority w:val="99"/>
    <w:semiHidden/>
    <w:rsid w:val="005A7439"/>
    <w:rPr>
      <w:b/>
      <w:bCs/>
      <w:color w:val="232B39" w:themeColor="text1"/>
    </w:rPr>
  </w:style>
  <w:style w:type="paragraph" w:styleId="ListBullet">
    <w:name w:val="List Bullet"/>
    <w:basedOn w:val="Normal"/>
    <w:uiPriority w:val="99"/>
    <w:rsid w:val="006078BE"/>
    <w:pPr>
      <w:numPr>
        <w:numId w:val="14"/>
      </w:numPr>
    </w:pPr>
  </w:style>
  <w:style w:type="paragraph" w:styleId="ListBullet2">
    <w:name w:val="List Bullet 2"/>
    <w:basedOn w:val="ListBullet"/>
    <w:uiPriority w:val="99"/>
    <w:rsid w:val="00BE3755"/>
    <w:pPr>
      <w:numPr>
        <w:ilvl w:val="1"/>
      </w:numPr>
    </w:pPr>
  </w:style>
  <w:style w:type="paragraph" w:styleId="ListBullet3">
    <w:name w:val="List Bullet 3"/>
    <w:basedOn w:val="ListBullet2"/>
    <w:uiPriority w:val="99"/>
    <w:rsid w:val="00BE3755"/>
    <w:pPr>
      <w:numPr>
        <w:ilvl w:val="2"/>
      </w:numPr>
    </w:pPr>
  </w:style>
  <w:style w:type="paragraph" w:customStyle="1" w:styleId="Note">
    <w:name w:val="Note"/>
    <w:basedOn w:val="Normal"/>
    <w:uiPriority w:val="99"/>
    <w:qFormat/>
    <w:rsid w:val="00A5199F"/>
    <w:pPr>
      <w:tabs>
        <w:tab w:val="left" w:pos="284"/>
      </w:tabs>
      <w:spacing w:before="40" w:after="40"/>
      <w:ind w:left="284" w:hanging="284"/>
      <w:contextualSpacing/>
    </w:pPr>
    <w:rPr>
      <w:sz w:val="15"/>
    </w:rPr>
  </w:style>
  <w:style w:type="character" w:customStyle="1" w:styleId="Heading8Char">
    <w:name w:val="Heading 8 Char"/>
    <w:basedOn w:val="DefaultParagraphFont"/>
    <w:link w:val="Heading8"/>
    <w:uiPriority w:val="9"/>
    <w:semiHidden/>
    <w:rsid w:val="006A6BD7"/>
    <w:rPr>
      <w:rFonts w:asciiTheme="majorHAnsi" w:eastAsiaTheme="majorEastAsia" w:hAnsiTheme="majorHAnsi" w:cstheme="majorBidi"/>
      <w:color w:val="3B4860" w:themeColor="text1" w:themeTint="D8"/>
      <w:sz w:val="21"/>
      <w:szCs w:val="21"/>
    </w:rPr>
  </w:style>
  <w:style w:type="character" w:customStyle="1" w:styleId="Heading7Char">
    <w:name w:val="Heading 7 Char"/>
    <w:basedOn w:val="DefaultParagraphFont"/>
    <w:link w:val="Heading7"/>
    <w:uiPriority w:val="9"/>
    <w:semiHidden/>
    <w:rsid w:val="006A6BD7"/>
    <w:rPr>
      <w:rFonts w:asciiTheme="majorHAnsi" w:eastAsiaTheme="majorEastAsia" w:hAnsiTheme="majorHAnsi" w:cstheme="majorBidi"/>
      <w:i/>
      <w:iCs/>
      <w:color w:val="003866" w:themeColor="accent1" w:themeShade="7F"/>
    </w:rPr>
  </w:style>
  <w:style w:type="character" w:customStyle="1" w:styleId="Heading6Char">
    <w:name w:val="Heading 6 Char"/>
    <w:basedOn w:val="DefaultParagraphFont"/>
    <w:link w:val="Heading6"/>
    <w:uiPriority w:val="9"/>
    <w:semiHidden/>
    <w:rsid w:val="006A6BD7"/>
    <w:rPr>
      <w:rFonts w:asciiTheme="majorHAnsi" w:eastAsiaTheme="majorEastAsia" w:hAnsiTheme="majorHAnsi" w:cstheme="majorBidi"/>
      <w:color w:val="003866" w:themeColor="accent1" w:themeShade="7F"/>
    </w:rPr>
  </w:style>
  <w:style w:type="character" w:customStyle="1" w:styleId="Heading9Char">
    <w:name w:val="Heading 9 Char"/>
    <w:basedOn w:val="DefaultParagraphFont"/>
    <w:link w:val="Heading9"/>
    <w:uiPriority w:val="9"/>
    <w:semiHidden/>
    <w:rsid w:val="006A6BD7"/>
    <w:rPr>
      <w:rFonts w:asciiTheme="majorHAnsi" w:eastAsiaTheme="majorEastAsia" w:hAnsiTheme="majorHAnsi" w:cstheme="majorBidi"/>
      <w:i/>
      <w:iCs/>
      <w:color w:val="3B4860" w:themeColor="text1" w:themeTint="D8"/>
      <w:sz w:val="21"/>
      <w:szCs w:val="21"/>
    </w:rPr>
  </w:style>
  <w:style w:type="paragraph" w:styleId="NormalWeb">
    <w:name w:val="Normal (Web)"/>
    <w:basedOn w:val="Normal"/>
    <w:uiPriority w:val="99"/>
    <w:semiHidden/>
    <w:unhideWhenUsed/>
    <w:rsid w:val="00811EC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uidanceBullet1">
    <w:name w:val="Guidance Bullet 1"/>
    <w:basedOn w:val="Normal"/>
    <w:rsid w:val="006B0265"/>
    <w:pPr>
      <w:numPr>
        <w:numId w:val="18"/>
      </w:numPr>
      <w:shd w:val="clear" w:color="auto" w:fill="CCE3F5"/>
      <w:spacing w:before="40" w:after="40"/>
    </w:pPr>
    <w:rPr>
      <w:color w:val="auto"/>
      <w:spacing w:val="2"/>
    </w:rPr>
  </w:style>
  <w:style w:type="paragraph" w:customStyle="1" w:styleId="GuidanceBullet2">
    <w:name w:val="Guidance Bullet 2"/>
    <w:basedOn w:val="Normal"/>
    <w:rsid w:val="006B0265"/>
    <w:pPr>
      <w:numPr>
        <w:ilvl w:val="1"/>
        <w:numId w:val="18"/>
      </w:numPr>
      <w:shd w:val="clear" w:color="auto" w:fill="CCE3F5"/>
      <w:spacing w:before="40" w:after="40" w:line="240" w:lineRule="auto"/>
    </w:pPr>
    <w:rPr>
      <w:color w:val="auto"/>
      <w:spacing w:val="2"/>
    </w:rPr>
  </w:style>
  <w:style w:type="paragraph" w:customStyle="1" w:styleId="GuidanceNormal">
    <w:name w:val="Guidance Normal"/>
    <w:basedOn w:val="Normal"/>
    <w:qFormat/>
    <w:rsid w:val="00CD09F8"/>
    <w:pPr>
      <w:shd w:val="clear" w:color="auto" w:fill="CCE3F5"/>
      <w:spacing w:before="160" w:after="100"/>
    </w:pPr>
    <w:rPr>
      <w:color w:val="auto"/>
      <w:spacing w:val="2"/>
    </w:rPr>
  </w:style>
  <w:style w:type="paragraph" w:styleId="Revision">
    <w:name w:val="Revision"/>
    <w:hidden/>
    <w:uiPriority w:val="99"/>
    <w:semiHidden/>
    <w:rsid w:val="00B804E9"/>
    <w:pPr>
      <w:spacing w:before="0" w:after="0" w:line="240" w:lineRule="auto"/>
    </w:pPr>
    <w:rPr>
      <w:color w:val="232B39" w:themeColor="text1"/>
    </w:rPr>
  </w:style>
  <w:style w:type="character" w:styleId="Mention">
    <w:name w:val="Mention"/>
    <w:basedOn w:val="DefaultParagraphFont"/>
    <w:uiPriority w:val="99"/>
    <w:unhideWhenUsed/>
    <w:rsid w:val="00724AC5"/>
    <w:rPr>
      <w:color w:val="2B579A"/>
      <w:shd w:val="clear" w:color="auto" w:fill="E1DFDD"/>
    </w:rPr>
  </w:style>
  <w:style w:type="numbering" w:customStyle="1" w:styleId="NumberedHeadingStyle1">
    <w:name w:val="Numbered Heading Style1"/>
    <w:uiPriority w:val="99"/>
    <w:rsid w:val="00B4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24064">
      <w:bodyDiv w:val="1"/>
      <w:marLeft w:val="0"/>
      <w:marRight w:val="0"/>
      <w:marTop w:val="0"/>
      <w:marBottom w:val="0"/>
      <w:divBdr>
        <w:top w:val="none" w:sz="0" w:space="0" w:color="auto"/>
        <w:left w:val="none" w:sz="0" w:space="0" w:color="auto"/>
        <w:bottom w:val="none" w:sz="0" w:space="0" w:color="auto"/>
        <w:right w:val="none" w:sz="0" w:space="0" w:color="auto"/>
      </w:divBdr>
    </w:div>
    <w:div w:id="702829567">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70721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gov.sharepoint.com/sites/DTFPBHub" TargetMode="External"/><Relationship Id="rId18" Type="http://schemas.openxmlformats.org/officeDocument/2006/relationships/hyperlink" Target="mailto:genderresponsivebudgeting@dtf.vic.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behavioural.insights@dpc.vic.gov.a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enderequalitycommission.vic.gov.au/gender-impact-assessment-toolkit" TargetMode="External"/><Relationship Id="rId25" Type="http://schemas.openxmlformats.org/officeDocument/2006/relationships/hyperlink" Target="mailto:andrew.tarrant@dtf.vic.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rogram.budgeting@dtf.vic.gov.au" TargetMode="External"/><Relationship Id="rId20" Type="http://schemas.openxmlformats.org/officeDocument/2006/relationships/hyperlink" Target="https://www.infrastructure.nsw.gov.au/expert-advice/decarbonising-infrastructure-deliver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amie.jacob@dtf.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icgov.sharepoint.com/sites/DTFPBHub" TargetMode="External"/><Relationship Id="rId23" Type="http://schemas.openxmlformats.org/officeDocument/2006/relationships/hyperlink" Target="mailto:infrastructure.delivery@dtf.vic.gov.au"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climate.change@delwp.vic.gov.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tf.vic.gov.au/program-budgeting-reform" TargetMode="External"/><Relationship Id="rId22" Type="http://schemas.openxmlformats.org/officeDocument/2006/relationships/hyperlink" Target="https://www.dtf.vic.gov.au/investment-lifecycle-and-high-value-high-risk-guidelines/procuremen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OneDrive%20-%20VicGov\Templates\DTF\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B53749C7614A1B9809680009CC3908"/>
        <w:category>
          <w:name w:val="General"/>
          <w:gallery w:val="placeholder"/>
        </w:category>
        <w:types>
          <w:type w:val="bbPlcHdr"/>
        </w:types>
        <w:behaviors>
          <w:behavior w:val="content"/>
        </w:behaviors>
        <w:guid w:val="{6480B89A-9623-44F7-A222-B40D3F3DBA7B}"/>
      </w:docPartPr>
      <w:docPartBody>
        <w:p w:rsidR="00DE2AA5" w:rsidRDefault="00DE2AA5">
          <w:pPr>
            <w:pStyle w:val="34B53749C7614A1B9809680009CC3908"/>
          </w:pPr>
          <w:r w:rsidRPr="00CD4E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A5"/>
    <w:rsid w:val="007C0E52"/>
    <w:rsid w:val="00984C88"/>
    <w:rsid w:val="009C7A02"/>
    <w:rsid w:val="009F2FF5"/>
    <w:rsid w:val="00C7228C"/>
    <w:rsid w:val="00C829A9"/>
    <w:rsid w:val="00DE2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B53749C7614A1B9809680009CC3908">
    <w:name w:val="34B53749C7614A1B9809680009CC3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4C838C6836BC4F889909807A521D51" ma:contentTypeVersion="10" ma:contentTypeDescription="Create a new document." ma:contentTypeScope="" ma:versionID="f9f316db889a8114671e4d95644ac7c9">
  <xsd:schema xmlns:xsd="http://www.w3.org/2001/XMLSchema" xmlns:xs="http://www.w3.org/2001/XMLSchema" xmlns:p="http://schemas.microsoft.com/office/2006/metadata/properties" xmlns:ns2="01c0f5ca-0b3f-49b6-b59f-6d657e44a718" xmlns:ns3="612ed4d1-c1c5-4dd8-b1b4-2ca9ac75df49" targetNamespace="http://schemas.microsoft.com/office/2006/metadata/properties" ma:root="true" ma:fieldsID="f79424bc9a1bf7305beac829ddb39d8b" ns2:_="" ns3:_="">
    <xsd:import namespace="01c0f5ca-0b3f-49b6-b59f-6d657e44a718"/>
    <xsd:import namespace="612ed4d1-c1c5-4dd8-b1b4-2ca9ac75df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Worktask" minOccurs="0"/>
                <xsd:element ref="ns3:MediaServiceObjectDetectorVersions" minOccurs="0"/>
                <xsd:element ref="ns3:MediaServiceSearchProperties" minOccurs="0"/>
                <xsd:element ref="ns3:C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f5ca-0b3f-49b6-b59f-6d657e44a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ed4d1-c1c5-4dd8-b1b4-2ca9ac75d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Worktask" ma:index="17" nillable="true" ma:displayName="Work task" ma:format="Dropdown" ma:internalName="Worktask">
      <xsd:simpleType>
        <xsd:restriction base="dms:Choice">
          <xsd:enumeration value="TPO Requests"/>
          <xsd:enumeration value="PAEC"/>
          <xsd:enumeration value="FOI"/>
          <xsd:enumeration value="Corporate"/>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CMNumber" ma:index="20" nillable="true" ma:displayName="CM Number" ma:format="Dropdown" ma:internalName="C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task xmlns="612ed4d1-c1c5-4dd8-b1b4-2ca9ac75df49" xsi:nil="true"/>
    <_dlc_DocId xmlns="01c0f5ca-0b3f-49b6-b59f-6d657e44a718">RY7JXCH3M54P-1794690801-1784</_dlc_DocId>
    <_dlc_DocIdUrl xmlns="01c0f5ca-0b3f-49b6-b59f-6d657e44a718">
      <Url>https://vicgov.sharepoint.com/sites/DTFPortfolioAnalysis/_layouts/15/DocIdRedir.aspx?ID=RY7JXCH3M54P-1794690801-1784</Url>
      <Description>RY7JXCH3M54P-1794690801-1784</Description>
    </_dlc_DocIdUrl>
    <SharedWithUsers xmlns="01c0f5ca-0b3f-49b6-b59f-6d657e44a718">
      <UserInfo>
        <DisplayName>Jamie Jacob (DTF)</DisplayName>
        <AccountId>242</AccountId>
        <AccountType/>
      </UserInfo>
      <UserInfo>
        <DisplayName>Leif Smith (DTF)</DisplayName>
        <AccountId>241</AccountId>
        <AccountType/>
      </UserInfo>
    </SharedWithUsers>
    <CMNumber xmlns="612ed4d1-c1c5-4dd8-b1b4-2ca9ac75df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3171-3FBF-426E-9166-C02CA5204C99}">
  <ds:schemaRefs>
    <ds:schemaRef ds:uri="http://schemas.microsoft.com/sharepoint/events"/>
  </ds:schemaRefs>
</ds:datastoreItem>
</file>

<file path=customXml/itemProps2.xml><?xml version="1.0" encoding="utf-8"?>
<ds:datastoreItem xmlns:ds="http://schemas.openxmlformats.org/officeDocument/2006/customXml" ds:itemID="{9288EC84-0548-4ABB-AF94-8A34D40A6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f5ca-0b3f-49b6-b59f-6d657e44a718"/>
    <ds:schemaRef ds:uri="612ed4d1-c1c5-4dd8-b1b4-2ca9ac75d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FC793-20A7-4BD8-B91B-66534FC764BF}">
  <ds:schemaRefs>
    <ds:schemaRef ds:uri="http://schemas.microsoft.com/office/2006/metadata/properties"/>
    <ds:schemaRef ds:uri="http://schemas.microsoft.com/office/infopath/2007/PartnerControls"/>
    <ds:schemaRef ds:uri="612ed4d1-c1c5-4dd8-b1b4-2ca9ac75df49"/>
    <ds:schemaRef ds:uri="01c0f5ca-0b3f-49b6-b59f-6d657e44a718"/>
  </ds:schemaRefs>
</ds:datastoreItem>
</file>

<file path=customXml/itemProps4.xml><?xml version="1.0" encoding="utf-8"?>
<ds:datastoreItem xmlns:ds="http://schemas.openxmlformats.org/officeDocument/2006/customXml" ds:itemID="{F6FE309B-B2BA-48F8-9784-12A04C25E0A3}">
  <ds:schemaRefs>
    <ds:schemaRef ds:uri="http://schemas.microsoft.com/sharepoint/v3/contenttype/forms"/>
  </ds:schemaRefs>
</ds:datastoreItem>
</file>

<file path=customXml/itemProps5.xml><?xml version="1.0" encoding="utf-8"?>
<ds:datastoreItem xmlns:ds="http://schemas.openxmlformats.org/officeDocument/2006/customXml" ds:itemID="{F16751B6-8E0B-43B5-8BE4-E1BAC801A68E}">
  <ds:schemaRefs>
    <ds:schemaRef ds:uri="http://www.w3.org/2001/XMLSchema"/>
  </ds:schemaRefs>
</ds:datastoreItem>
</file>

<file path=customXml/itemProps6.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Portrait.dotm</Template>
  <TotalTime>57</TotalTime>
  <Pages>1</Pages>
  <Words>6092</Words>
  <Characters>34727</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40738</CharactersWithSpaces>
  <SharedDoc>false</SharedDoc>
  <HLinks>
    <vt:vector size="78" baseType="variant">
      <vt:variant>
        <vt:i4>3670101</vt:i4>
      </vt:variant>
      <vt:variant>
        <vt:i4>36</vt:i4>
      </vt:variant>
      <vt:variant>
        <vt:i4>0</vt:i4>
      </vt:variant>
      <vt:variant>
        <vt:i4>5</vt:i4>
      </vt:variant>
      <vt:variant>
        <vt:lpwstr>mailto:andrew.tarrant@dtf.vic.gov.au</vt:lpwstr>
      </vt:variant>
      <vt:variant>
        <vt:lpwstr/>
      </vt:variant>
      <vt:variant>
        <vt:i4>1638457</vt:i4>
      </vt:variant>
      <vt:variant>
        <vt:i4>33</vt:i4>
      </vt:variant>
      <vt:variant>
        <vt:i4>0</vt:i4>
      </vt:variant>
      <vt:variant>
        <vt:i4>5</vt:i4>
      </vt:variant>
      <vt:variant>
        <vt:lpwstr>mailto:Jamie.jacob@dtf.gov.au</vt:lpwstr>
      </vt:variant>
      <vt:variant>
        <vt:lpwstr/>
      </vt:variant>
      <vt:variant>
        <vt:i4>5374004</vt:i4>
      </vt:variant>
      <vt:variant>
        <vt:i4>30</vt:i4>
      </vt:variant>
      <vt:variant>
        <vt:i4>0</vt:i4>
      </vt:variant>
      <vt:variant>
        <vt:i4>5</vt:i4>
      </vt:variant>
      <vt:variant>
        <vt:lpwstr>mailto:infrastructure.delivery@dtf.vic.gov.au</vt:lpwstr>
      </vt:variant>
      <vt:variant>
        <vt:lpwstr/>
      </vt:variant>
      <vt:variant>
        <vt:i4>2228272</vt:i4>
      </vt:variant>
      <vt:variant>
        <vt:i4>27</vt:i4>
      </vt:variant>
      <vt:variant>
        <vt:i4>0</vt:i4>
      </vt:variant>
      <vt:variant>
        <vt:i4>5</vt:i4>
      </vt:variant>
      <vt:variant>
        <vt:lpwstr>https://www.dtf.vic.gov.au/investment-lifecycle-and-high-value-high-risk-guidelines/procurement</vt:lpwstr>
      </vt:variant>
      <vt:variant>
        <vt:lpwstr/>
      </vt:variant>
      <vt:variant>
        <vt:i4>720995</vt:i4>
      </vt:variant>
      <vt:variant>
        <vt:i4>24</vt:i4>
      </vt:variant>
      <vt:variant>
        <vt:i4>0</vt:i4>
      </vt:variant>
      <vt:variant>
        <vt:i4>5</vt:i4>
      </vt:variant>
      <vt:variant>
        <vt:lpwstr>mailto:behavioural.insights@dpc.vic.gov.au</vt:lpwstr>
      </vt:variant>
      <vt:variant>
        <vt:lpwstr/>
      </vt:variant>
      <vt:variant>
        <vt:i4>2556005</vt:i4>
      </vt:variant>
      <vt:variant>
        <vt:i4>21</vt:i4>
      </vt:variant>
      <vt:variant>
        <vt:i4>0</vt:i4>
      </vt:variant>
      <vt:variant>
        <vt:i4>5</vt:i4>
      </vt:variant>
      <vt:variant>
        <vt:lpwstr>https://www.infrastructure.nsw.gov.au/expert-advice/decarbonising-infrastructure-delivery/</vt:lpwstr>
      </vt:variant>
      <vt:variant>
        <vt:lpwstr/>
      </vt:variant>
      <vt:variant>
        <vt:i4>393327</vt:i4>
      </vt:variant>
      <vt:variant>
        <vt:i4>18</vt:i4>
      </vt:variant>
      <vt:variant>
        <vt:i4>0</vt:i4>
      </vt:variant>
      <vt:variant>
        <vt:i4>5</vt:i4>
      </vt:variant>
      <vt:variant>
        <vt:lpwstr>mailto:climate.change@delwp.vic.gov.au</vt:lpwstr>
      </vt:variant>
      <vt:variant>
        <vt:lpwstr/>
      </vt:variant>
      <vt:variant>
        <vt:i4>7274586</vt:i4>
      </vt:variant>
      <vt:variant>
        <vt:i4>15</vt:i4>
      </vt:variant>
      <vt:variant>
        <vt:i4>0</vt:i4>
      </vt:variant>
      <vt:variant>
        <vt:i4>5</vt:i4>
      </vt:variant>
      <vt:variant>
        <vt:lpwstr>mailto:genderresponsivebudgeting@dtf.vic.gov.au</vt:lpwstr>
      </vt:variant>
      <vt:variant>
        <vt:lpwstr/>
      </vt:variant>
      <vt:variant>
        <vt:i4>5439518</vt:i4>
      </vt:variant>
      <vt:variant>
        <vt:i4>12</vt:i4>
      </vt:variant>
      <vt:variant>
        <vt:i4>0</vt:i4>
      </vt:variant>
      <vt:variant>
        <vt:i4>5</vt:i4>
      </vt:variant>
      <vt:variant>
        <vt:lpwstr>https://www.genderequalitycommission.vic.gov.au/gender-impact-assessment-toolkit</vt:lpwstr>
      </vt:variant>
      <vt:variant>
        <vt:lpwstr/>
      </vt:variant>
      <vt:variant>
        <vt:i4>6815748</vt:i4>
      </vt:variant>
      <vt:variant>
        <vt:i4>9</vt:i4>
      </vt:variant>
      <vt:variant>
        <vt:i4>0</vt:i4>
      </vt:variant>
      <vt:variant>
        <vt:i4>5</vt:i4>
      </vt:variant>
      <vt:variant>
        <vt:lpwstr>mailto:program.budgeting@dtf.vic.gov.au</vt:lpwstr>
      </vt:variant>
      <vt:variant>
        <vt:lpwstr/>
      </vt:variant>
      <vt:variant>
        <vt:i4>6029324</vt:i4>
      </vt:variant>
      <vt:variant>
        <vt:i4>6</vt:i4>
      </vt:variant>
      <vt:variant>
        <vt:i4>0</vt:i4>
      </vt:variant>
      <vt:variant>
        <vt:i4>5</vt:i4>
      </vt:variant>
      <vt:variant>
        <vt:lpwstr>https://vicgov.sharepoint.com/sites/DTFPBHub</vt:lpwstr>
      </vt:variant>
      <vt:variant>
        <vt:lpwstr/>
      </vt:variant>
      <vt:variant>
        <vt:i4>6946942</vt:i4>
      </vt:variant>
      <vt:variant>
        <vt:i4>3</vt:i4>
      </vt:variant>
      <vt:variant>
        <vt:i4>0</vt:i4>
      </vt:variant>
      <vt:variant>
        <vt:i4>5</vt:i4>
      </vt:variant>
      <vt:variant>
        <vt:lpwstr>https://www.dtf.vic.gov.au/program-budgeting-reform</vt:lpwstr>
      </vt:variant>
      <vt:variant>
        <vt:lpwstr/>
      </vt:variant>
      <vt:variant>
        <vt:i4>6029324</vt:i4>
      </vt:variant>
      <vt:variant>
        <vt:i4>0</vt:i4>
      </vt:variant>
      <vt:variant>
        <vt:i4>0</vt:i4>
      </vt:variant>
      <vt:variant>
        <vt:i4>5</vt:i4>
      </vt:variant>
      <vt:variant>
        <vt:lpwstr>https://vicgov.sharepoint.com/sites/DTFPBHub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Ruth McDonald (DTF)</cp:lastModifiedBy>
  <cp:revision>155</cp:revision>
  <cp:lastPrinted>2016-02-13T00:59:00Z</cp:lastPrinted>
  <dcterms:created xsi:type="dcterms:W3CDTF">2024-09-12T05:16:00Z</dcterms:created>
  <dcterms:modified xsi:type="dcterms:W3CDTF">2024-09-13T18:49:00Z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ContentTypeId">
    <vt:lpwstr>0x010100554C838C6836BC4F889909807A521D51</vt:lpwstr>
  </property>
  <property fmtid="{D5CDD505-2E9C-101B-9397-08002B2CF9AE}" pid="12" name="_dlc_DocIdItemGuid">
    <vt:lpwstr>1e35d8bd-9195-4b14-8fed-4e402f6f14bc</vt:lpwstr>
  </property>
</Properties>
</file>